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изменений</w:t>
      </w:r>
      <w:r>
        <w:rPr>
          <w:rFonts w:ascii="Times New Roman" w:hAnsi="Times New Roman" w:cs="Times New Roman"/>
          <w:b/>
        </w:rPr>
      </w:r>
    </w:p>
    <w:p>
      <w:pPr>
        <w:ind w:right="-427" w:firstLine="720"/>
        <w:jc w:val="both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На основании п. 6.15 Положения Заказчиком принято решение о внесении изменений в документацию </w:t>
      </w:r>
      <w:r>
        <w:rPr>
          <w:rFonts w:ascii="Times New Roman" w:hAnsi="Times New Roman" w:cs="Times New Roman"/>
        </w:rPr>
        <w:t xml:space="preserve">аукциона в электронной форме</w:t>
      </w:r>
      <w:r>
        <w:rPr>
          <w:rFonts w:ascii="Times New Roman" w:hAnsi="Times New Roman" w:cs="Times New Roman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(Закупка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32615769705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) «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на поставку картриджей для установки для получения очищенной воды и воды для инъекций «АКВАЛАБ» УВОИ-«МФ»-1812-2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</w:p>
    <w:p>
      <w:pPr>
        <w:pStyle w:val="708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Пункты закупочной документации изложены в следующей редакции:</w:t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Старая редакция: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-327" w:type="dxa"/>
        <w:tblLayout w:type="fixed"/>
        <w:tblLook w:val="04A0" w:firstRow="1" w:lastRow="0" w:firstColumn="1" w:lastColumn="0" w:noHBand="0" w:noVBand="1"/>
      </w:tblPr>
      <w:tblGrid>
        <w:gridCol w:w="696"/>
        <w:gridCol w:w="2677"/>
        <w:gridCol w:w="69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Порядок, место, дата начала и дата и время окончания срока подачи заявок</w:t>
            </w:r>
            <w:r>
              <w:rPr>
                <w:rFonts w:eastAsia="Calibri"/>
              </w:rP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u w:val="single"/>
              </w:rPr>
              <w:t xml:space="preserve">Заявки на участие в аукционе в электронной форме подаются через ЭТП по адресу, указанному в п.3 Информационной карты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widowControl w:val="off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Дата начала подачи: </w:t>
            </w:r>
            <w:r>
              <w:t xml:space="preserve">дата размещения извещения о проведении аукциона в электронной форме в Единой информационной системе.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Дата и время окончания подачи </w:t>
            </w:r>
            <w:r>
              <w:rPr>
                <w:b/>
              </w:rPr>
              <w:t xml:space="preserve">заявок: «</w:t>
            </w:r>
            <w:r>
              <w:rPr>
                <w:b/>
              </w:rPr>
              <w:t xml:space="preserve">20</w:t>
            </w:r>
            <w:r>
              <w:rPr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Cs/>
              </w:rPr>
            </w:pPr>
            <w:r>
              <w:rPr>
                <w:b/>
              </w:rPr>
              <w:t xml:space="preserve">в 10  часов 00  минут (по местному времени).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widowControl w:val="off"/>
            </w:pPr>
            <w:r>
              <w:rPr>
                <w:bCs/>
              </w:rPr>
              <w:t xml:space="preserve">Порядок подачи заявки на участие в аукционе в электронной форме определяется регламентом оператора электронной торговой площадки, на которой проводится аукцион в электронной форме.</w:t>
            </w:r>
            <w:r/>
            <w:r/>
          </w:p>
          <w:p>
            <w:pPr>
              <w:jc w:val="both"/>
              <w:widowControl w:val="off"/>
            </w:pPr>
            <w:r>
              <w:t xml:space="preserve">Участнику закупки для участия необходимо получить аккредитацию на электронной площадке в порядке, установленном оператором электронной площадки. Обмен между участником аукциона</w:t>
            </w:r>
            <w:r>
              <w:t xml:space="preserve"> в электронной форме, Заказчиком и оператором электронной площадки информацией, связанной с получением аккредитации на электронной площадке, осуществлением аукциона в электронной форме, осуществляется на электронной площадке в форме электронных документов.</w:t>
            </w:r>
            <w:r/>
            <w:r/>
          </w:p>
          <w:p>
            <w:pPr>
              <w:jc w:val="both"/>
              <w:widowControl w:val="off"/>
            </w:pPr>
            <w:r>
              <w:t xml:space="preserve">Участник вправе подать только одну заявку на участие в процедуре. </w:t>
            </w:r>
            <w:r/>
            <w:r/>
          </w:p>
          <w:p>
            <w:pPr>
              <w:jc w:val="both"/>
              <w:widowControl w:val="off"/>
            </w:pPr>
            <w:r>
              <w:t xml:space="preserve">Участник закупки, подавший заявку на участие в аукционе в </w:t>
            </w:r>
            <w:r>
              <w:t xml:space="preserve">электронной форме, вправе изменить или отозвать ее в любое время до истечения срока подачи заявок на участие, посредством функционала ЭТП.</w:t>
            </w:r>
            <w:r/>
            <w:r/>
          </w:p>
        </w:tc>
      </w:tr>
      <w:tr>
        <w:tblPrEx/>
        <w:trPr>
          <w:trHeight w:val="3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Формы, порядок </w:t>
            </w:r>
            <w:r>
              <w:rPr>
                <w:rFonts w:eastAsia="Calibri"/>
              </w:rPr>
              <w:t xml:space="preserve">предоставления участникам закупки </w:t>
            </w:r>
            <w:r>
              <w:rPr>
                <w:rFonts w:eastAsia="Calibri"/>
                <w:b/>
                <w:bCs/>
              </w:rPr>
              <w:t xml:space="preserve">разъяснений</w:t>
            </w:r>
            <w:r>
              <w:rPr>
                <w:rFonts w:eastAsia="Calibri"/>
              </w:rPr>
              <w:t xml:space="preserve"> положений   документации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Любой участник закупки вправе направить Заказчику посредством электронной площадки запрос о даче разъяснений положений извещения и (или) документации о закупке. В течение трех рабочих дней со дня поступления указанног</w:t>
            </w:r>
            <w:r>
              <w:rPr>
                <w:rFonts w:eastAsia="Calibri"/>
              </w:rPr>
              <w:t xml:space="preserve">о запроса Заказчик размещает разъяснение положений документации о конкурентной закупке в единой информационной системе с указанием предмета запроса, но без указания участника закупки, от которого поступил указанный запрос, если запрос поступил к Заказчику.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</w:pPr>
            <w:r>
              <w:rPr>
                <w:rFonts w:eastAsia="Calibri"/>
              </w:rPr>
              <w:t xml:space="preserve">Разъяснения положений извещения и (или) документации о закупке не должны изменять предмет закупки и существенные условия проекта договора.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Дата и время </w:t>
            </w:r>
            <w:r>
              <w:rPr>
                <w:rFonts w:eastAsia="Calibri"/>
                <w:bCs/>
              </w:rPr>
              <w:t xml:space="preserve">окончания срока предоставления участникам закупки разъяснений положений документации о закупке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  <w:t xml:space="preserve">19</w:t>
            </w:r>
            <w:r>
              <w:rPr>
                <w:rFonts w:eastAsia="Calibri"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 </w:t>
            </w:r>
            <w:r>
              <w:rPr>
                <w:rFonts w:eastAsia="Calibri"/>
              </w:rPr>
              <w:t xml:space="preserve">23 часов 59 минут (поместному времени) </w:t>
            </w:r>
            <w:r/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12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Дата</w:t>
            </w:r>
            <w:r>
              <w:rPr>
                <w:rFonts w:eastAsia="Calibri"/>
                <w:b/>
              </w:rPr>
              <w:t xml:space="preserve"> окончания </w:t>
            </w:r>
            <w:r>
              <w:rPr>
                <w:rFonts w:eastAsia="Calibri"/>
              </w:rPr>
              <w:t xml:space="preserve">рассмотрения первых частей заявок</w:t>
            </w:r>
            <w:r>
              <w:rPr>
                <w:rFonts w:eastAsia="Calibri"/>
                <w:b/>
              </w:rPr>
              <w:t xml:space="preserve"> 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«</w:t>
            </w:r>
            <w:r>
              <w:rPr>
                <w:rFonts w:eastAsia="Calibri"/>
                <w:b/>
              </w:rPr>
              <w:t xml:space="preserve">24</w:t>
            </w:r>
            <w:r>
              <w:rPr>
                <w:rFonts w:eastAsia="Calibri"/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Дата проведения </w:t>
            </w:r>
            <w:r>
              <w:rPr>
                <w:rFonts w:eastAsia="Calibri"/>
                <w:bCs/>
              </w:rPr>
              <w:t xml:space="preserve">аукциона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25</w:t>
            </w:r>
            <w:r>
              <w:rPr>
                <w:b/>
              </w:rPr>
              <w:t xml:space="preserve">»</w:t>
            </w:r>
            <w:r>
              <w:rPr>
                <w:b/>
              </w:rPr>
              <w:t xml:space="preserve"> марта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2026г. </w:t>
            </w:r>
            <w:r>
              <w:rPr>
                <w:rFonts w:eastAsia="Calibri"/>
              </w:rPr>
              <w:t xml:space="preserve">Время начала проведения аукциона устанавливается оператором ЭТП.</w:t>
            </w:r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Срок</w:t>
            </w:r>
            <w:r>
              <w:rPr>
                <w:rFonts w:eastAsia="Calibri"/>
                <w:bCs/>
              </w:rPr>
              <w:t xml:space="preserve"> направления оператором ЭТП вторых частей заявок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часа после размещения в ЕИС протокола сопоставления ценовых предложений.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Дата рассмотрения </w:t>
            </w:r>
            <w:r>
              <w:t xml:space="preserve">вторых частей заявок и подведения итогов закупки</w:t>
            </w:r>
            <w:r>
              <w:rPr>
                <w:rFonts w:eastAsia="Calibri"/>
                <w:b/>
              </w:rP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</w:rPr>
              <w:t xml:space="preserve">«2</w:t>
            </w:r>
            <w:r>
              <w:rPr>
                <w:rFonts w:eastAsia="Calibri"/>
                <w:b/>
              </w:rPr>
              <w:t xml:space="preserve">7</w:t>
            </w:r>
            <w:r>
              <w:rPr>
                <w:rFonts w:eastAsia="Calibri"/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  <w:p>
            <w:pPr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</w:tr>
    </w:tbl>
    <w:p>
      <w:pPr>
        <w:spacing w:after="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Новая редакция: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-327" w:type="dxa"/>
        <w:tblLayout w:type="fixed"/>
        <w:tblLook w:val="04A0" w:firstRow="1" w:lastRow="0" w:firstColumn="1" w:lastColumn="0" w:noHBand="0" w:noVBand="1"/>
      </w:tblPr>
      <w:tblGrid>
        <w:gridCol w:w="696"/>
        <w:gridCol w:w="2677"/>
        <w:gridCol w:w="69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Порядок, место, дата начала и дата и время окончания срока подачи заявок</w:t>
            </w:r>
            <w:r>
              <w:rPr>
                <w:rFonts w:eastAsia="Calibri"/>
              </w:rP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u w:val="single"/>
              </w:rPr>
              <w:t xml:space="preserve">Заявки на участие в аукционе в электронной форме подаются через ЭТП по адресу, указанному в п.3 Информационной карты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widowControl w:val="off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Дата начала подачи: </w:t>
            </w:r>
            <w:r>
              <w:t xml:space="preserve">дата размещения извещения о проведении аукциона в электронной форме в Единой информационной системе.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Дата и время окончания подачи </w:t>
            </w:r>
            <w:r>
              <w:rPr>
                <w:b/>
              </w:rPr>
              <w:t xml:space="preserve">заявок: «</w:t>
            </w:r>
            <w:r>
              <w:rPr>
                <w:b/>
              </w:rPr>
              <w:t xml:space="preserve">27</w:t>
            </w:r>
            <w:r>
              <w:rPr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Cs/>
              </w:rPr>
            </w:pPr>
            <w:r>
              <w:rPr>
                <w:b/>
              </w:rPr>
              <w:t xml:space="preserve">в 10  часов 00  минут (по местному времени).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widowControl w:val="off"/>
            </w:pPr>
            <w:r>
              <w:rPr>
                <w:bCs/>
              </w:rPr>
              <w:t xml:space="preserve">Порядок подачи заявки на участие в аукционе в электронной форме определяется регламентом оператора электронной торговой площадки, на которой проводится аукцион в электронной форме.</w:t>
            </w:r>
            <w:r/>
            <w:r/>
          </w:p>
          <w:p>
            <w:pPr>
              <w:jc w:val="both"/>
              <w:widowControl w:val="off"/>
            </w:pPr>
            <w:r>
              <w:t xml:space="preserve">Участнику закупки для участия необходимо получить аккредитацию на электронной площадке в порядке, установленном оператором электронной площадки. Обмен между участником аукциона</w:t>
            </w:r>
            <w:r>
              <w:t xml:space="preserve"> в электронной форме, Заказчиком и оператором электронной площадки информацией, связанной с получением аккредитации на электронной площадке, осуществлением аукциона в электронной форме, осуществляется на электронной площадке в форме электронных документов.</w:t>
            </w:r>
            <w:r/>
            <w:r/>
          </w:p>
          <w:p>
            <w:pPr>
              <w:jc w:val="both"/>
              <w:widowControl w:val="off"/>
            </w:pPr>
            <w:r>
              <w:t xml:space="preserve">Участник вправе подать только одну заявку на участие в процедуре. </w:t>
            </w:r>
            <w:r/>
            <w:r/>
          </w:p>
          <w:p>
            <w:pPr>
              <w:jc w:val="both"/>
              <w:widowControl w:val="off"/>
            </w:pPr>
            <w:r>
              <w:t xml:space="preserve">Участник закупки, подавший заявку на участие в аукционе в </w:t>
            </w:r>
            <w:r>
              <w:t xml:space="preserve">электронной форме, вправе изменить или отозвать ее в любое время до истечения срока подачи заявок на участие, посредством функционала ЭТП.</w:t>
            </w:r>
            <w:r/>
            <w:r/>
          </w:p>
        </w:tc>
      </w:tr>
      <w:tr>
        <w:tblPrEx/>
        <w:trPr>
          <w:trHeight w:val="3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Формы, порядок </w:t>
            </w:r>
            <w:r>
              <w:rPr>
                <w:rFonts w:eastAsia="Calibri"/>
              </w:rPr>
              <w:t xml:space="preserve">предоставления участникам закупки </w:t>
            </w:r>
            <w:r>
              <w:rPr>
                <w:rFonts w:eastAsia="Calibri"/>
                <w:b/>
                <w:bCs/>
              </w:rPr>
              <w:t xml:space="preserve">разъяснений</w:t>
            </w:r>
            <w:r>
              <w:rPr>
                <w:rFonts w:eastAsia="Calibri"/>
              </w:rPr>
              <w:t xml:space="preserve"> положений   документации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Любой участник закупки вправе направить Заказчику посредством электронной площадки запрос о даче разъяснений положений извещения и (или) документации о закупке. В течение трех рабочих дней со дня поступления указанног</w:t>
            </w:r>
            <w:r>
              <w:rPr>
                <w:rFonts w:eastAsia="Calibri"/>
              </w:rPr>
              <w:t xml:space="preserve">о запроса Заказчик размещает разъяснение положений документации о конкурентной закупке в единой информационной системе с указанием предмета запроса, но без указания участника закупки, от которого поступил указанный запрос, если запрос поступил к Заказчику.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</w:pPr>
            <w:r>
              <w:rPr>
                <w:rFonts w:eastAsia="Calibri"/>
              </w:rPr>
              <w:t xml:space="preserve">Разъяснения положений извещения и (или) документации о закупке не должны изменять предмет закупки и существенные условия проекта договора.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b/>
                <w:bCs/>
              </w:rPr>
              <w:t xml:space="preserve">Дата и время </w:t>
            </w:r>
            <w:r>
              <w:rPr>
                <w:rFonts w:eastAsia="Calibri"/>
                <w:bCs/>
              </w:rPr>
              <w:t xml:space="preserve">окончания срока предоставления участникам закупки разъяснений положений документации о закупке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«26</w:t>
            </w:r>
            <w:r>
              <w:rPr>
                <w:rFonts w:eastAsia="Calibri"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 </w:t>
            </w:r>
            <w:r>
              <w:rPr>
                <w:rFonts w:eastAsia="Calibri"/>
              </w:rPr>
              <w:t xml:space="preserve">23 часов 59 минут (поместному времени) </w:t>
            </w:r>
            <w:r/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12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Дата</w:t>
            </w:r>
            <w:r>
              <w:rPr>
                <w:rFonts w:eastAsia="Calibri"/>
                <w:b/>
              </w:rPr>
              <w:t xml:space="preserve"> окончания </w:t>
            </w:r>
            <w:r>
              <w:rPr>
                <w:rFonts w:eastAsia="Calibri"/>
              </w:rPr>
              <w:t xml:space="preserve">рассмотрения первых частей заявок</w:t>
            </w:r>
            <w:r>
              <w:rPr>
                <w:rFonts w:eastAsia="Calibri"/>
                <w:b/>
              </w:rPr>
              <w:t xml:space="preserve"> 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«31</w:t>
            </w:r>
            <w:r>
              <w:rPr>
                <w:rFonts w:eastAsia="Calibri"/>
                <w:b/>
              </w:rPr>
              <w:t xml:space="preserve">» </w:t>
            </w:r>
            <w:r>
              <w:rPr>
                <w:b/>
              </w:rPr>
              <w:t xml:space="preserve">марта</w:t>
            </w:r>
            <w:r>
              <w:rPr>
                <w:rFonts w:eastAsia="Calibri"/>
                <w:b/>
              </w:rPr>
              <w:t xml:space="preserve"> 2026г.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Дата проведения </w:t>
            </w:r>
            <w:r>
              <w:rPr>
                <w:rFonts w:eastAsia="Calibri"/>
                <w:bCs/>
              </w:rPr>
              <w:t xml:space="preserve">аукциона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01</w:t>
            </w:r>
            <w:r>
              <w:rPr>
                <w:b/>
              </w:rPr>
              <w:t xml:space="preserve">»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апреля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2026г. </w:t>
            </w:r>
            <w:r>
              <w:rPr>
                <w:rFonts w:eastAsia="Calibri"/>
              </w:rPr>
              <w:t xml:space="preserve">Время начала проведения аукциона устанавливается оператором ЭТП.</w:t>
            </w:r>
            <w:r/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rFonts w:eastAsia="Calibri"/>
                <w:b/>
                <w:bCs/>
              </w:rPr>
              <w:t xml:space="preserve">Срок</w:t>
            </w:r>
            <w:r>
              <w:rPr>
                <w:rFonts w:eastAsia="Calibri"/>
                <w:bCs/>
              </w:rPr>
              <w:t xml:space="preserve"> направления оператором ЭТП вторых частей заявок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часа после размещения в ЕИС протокола сопоставления ценовых предложений.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7" w:type="dxa"/>
            <w:textDirection w:val="lrTb"/>
            <w:noWrap w:val="false"/>
          </w:tcPr>
          <w:p>
            <w:r>
              <w:rPr>
                <w:b/>
              </w:rPr>
              <w:t xml:space="preserve">Дата рассмотрения </w:t>
            </w:r>
            <w:r>
              <w:t xml:space="preserve">вторых частей заявок и подведения итогов закупки</w:t>
            </w:r>
            <w:r>
              <w:rPr>
                <w:rFonts w:eastAsia="Calibri"/>
                <w:b/>
              </w:rP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978" w:type="dxa"/>
            <w:textDirection w:val="lrTb"/>
            <w:noWrap w:val="false"/>
          </w:tcPr>
          <w:p>
            <w:pPr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</w:rPr>
              <w:t xml:space="preserve">«03</w:t>
            </w:r>
            <w:r>
              <w:rPr>
                <w:rFonts w:eastAsia="Calibri"/>
                <w:b/>
              </w:rPr>
              <w:t xml:space="preserve">» апреля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2026г.</w:t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  <w:p>
            <w:pPr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2. </w:t>
      </w:r>
      <w:r>
        <w:rPr>
          <w:rFonts w:ascii="Times New Roman" w:hAnsi="Times New Roman" w:cs="Times New Roman"/>
        </w:rPr>
        <w:t xml:space="preserve">Описание предмета закупки </w:t>
      </w:r>
      <w:r>
        <w:rPr>
          <w:rFonts w:ascii="Times New Roman" w:hAnsi="Times New Roman" w:cs="Times New Roman"/>
        </w:rPr>
        <w:t xml:space="preserve">изложить в следующей редакции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</w:t>
      </w:r>
      <w:r>
        <w:rPr>
          <w:rFonts w:ascii="Times New Roman" w:hAnsi="Times New Roman" w:cs="Times New Roman"/>
          <w:b/>
          <w:color w:val="000000"/>
        </w:rPr>
      </w:r>
    </w:p>
    <w:tbl>
      <w:tblPr>
        <w:tblStyle w:val="707"/>
        <w:tblW w:w="0" w:type="auto"/>
        <w:tblLook w:val="04A0" w:firstRow="1" w:lastRow="0" w:firstColumn="1" w:lastColumn="0" w:noHBand="0" w:noVBand="1"/>
      </w:tblPr>
      <w:tblGrid>
        <w:gridCol w:w="7181"/>
        <w:gridCol w:w="7379"/>
      </w:tblGrid>
      <w:tr>
        <w:tblPrEx/>
        <w:trPr/>
        <w:tc>
          <w:tcPr>
            <w:tcW w:w="75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Было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Стало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7508" w:type="dxa"/>
            <w:textDirection w:val="lrTb"/>
            <w:noWrap w:val="false"/>
          </w:tcPr>
          <w:tbl>
            <w:tblPr>
              <w:tblStyle w:val="1_1678"/>
              <w:tblW w:w="7239" w:type="dxa"/>
              <w:tblInd w:w="6" w:type="dxa"/>
              <w:tblLook w:val="04A0" w:firstRow="1" w:lastRow="0" w:firstColumn="1" w:lastColumn="0" w:noHBand="0" w:noVBand="1"/>
            </w:tblPr>
            <w:tblGrid>
              <w:gridCol w:w="294"/>
              <w:gridCol w:w="1261"/>
              <w:gridCol w:w="4125"/>
              <w:gridCol w:w="992"/>
              <w:gridCol w:w="567"/>
            </w:tblGrid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9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п/п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Наименование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1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Технические характеристики закупаемых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Единица измерения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12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механических частиц минимальным размером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более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мкм. Типоразмер 13". 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в диапазоне: минимальное значение не более 0,25 МПа максимальное значение не менее 0,65 МПа. Максимальная производительность не менее 0,1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12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деионизации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воды. Содержит ионит смешанного действия, типоразмер 15".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0,33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12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растворенных минеральных солей. Содержит полимерную пленку, свернутую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рулон и работающую по принципу осмотической мембраны, типоразмер 13".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в диапазоне: минимальное значение не более 0,25 МПа максимальное значение не менее 0,65 МПа. Максимальная производительность не менее 6 л/ч.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12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органических соединений и окис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лителей. Содержит гранулированный активированный уголь, типоразмер 13".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 в диапазоне: минимальное значение не более 0,25 МПа максимальное значение не менее 0,65 МПа. Максимальная производительность не менее 0,1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12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механических частиц. С зернистой фильтрующей загрузкой, типоразмер 15". Совместим с установкой для получения очищенной воды и воды для инъекций «АКВАЛАБ» УВОИ-«МФ»-1812-2,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0,35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70" w:type="dxa"/>
            <w:textDirection w:val="lrTb"/>
            <w:noWrap w:val="false"/>
          </w:tcPr>
          <w:tbl>
            <w:tblPr>
              <w:tblStyle w:val="1_1678"/>
              <w:tblW w:w="7451" w:type="dxa"/>
              <w:tblInd w:w="0" w:type="dxa"/>
              <w:tblLook w:val="04A0" w:firstRow="1" w:lastRow="0" w:firstColumn="1" w:lastColumn="0" w:noHBand="0" w:noVBand="1"/>
            </w:tblPr>
            <w:tblGrid>
              <w:gridCol w:w="282"/>
              <w:gridCol w:w="1261"/>
              <w:gridCol w:w="4314"/>
              <w:gridCol w:w="909"/>
              <w:gridCol w:w="685"/>
            </w:tblGrid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8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п/п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Наименование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31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Технические характеристики закупаемых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Единица измерения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68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31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механических частиц минимальным размером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более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мкм. Типоразмер 13". 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овместим с установкой для получения очищенной воды и воды для инъекций «АКВАЛАБ» УВОИ-«МФ»-1812-2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Серийный номер: MF0FB1SKE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в диапазоне: минимальное значение не более 0,25 МПа максимальное значение не менее 0,65 МПа. Максимальная производительность не менее 0,1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68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31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деионизации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воды. Содержит ионит смешанного действия, типоразмер 15". Совместим с установкой для получения очищенной воды и воды для инъекций «АКВАЛАБ» УВОИ-«МФ»-1812-2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Серийный номер: MF0FB1SKE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0,33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68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31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очистки воды от растворенных минеральных солей. Содержит полимерную пленку, свернутую в рулон и работающую по принципу осмотической мембраны, типоразмер 13". Совместим с установкой для получения очищенной воды и воды для инъекций «АКВАЛАБ» УВОИ-«МФ»-1812-2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Серийный номер: MF0FB1SKE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в диапазоне: минимальное значение не более 0,25 МПа максимальное значение не менее 0,65 МПа. Максимальная производительность не менее 6 л/ч.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68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31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органических соединений и окислителей. Содержит гранулированный активированный уголь, типоразмер 13". Совместим с установкой для получения очищенной воды и воды для инъекций «АКВАЛАБ» УВОИ-«МФ»-1812-2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Серийный номер: MF0FB1SKE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 в диапазоне: минимальное значение не более 0,25 МПа максимальное значение не менее 0,65 МПа. Максимальная производительность не менее 0,1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68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126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Картридж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431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 для очистки воды от механических частиц. С зернистой фильтрующей загрузкой, типоразмер 15". Совместим с установкой для получения очищенной воды и воды для инъекций «АКВАЛАБ» УВОИ-«МФ»-1812-2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Серийный номер: MF0FB1SKE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имеющейся у Заказчика. Диапазон рабочих температур: минимальное значение не выше +4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максимальное значение не ниже +36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град.С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0,35 м3/ч.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9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штука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5" w:space="0"/>
                    <w:left w:val="single" w:color="000000" w:sz="5" w:space="0"/>
                    <w:bottom w:val="single" w:color="000000" w:sz="5" w:space="0"/>
                    <w:right w:val="single" w:color="000000" w:sz="5" w:space="0"/>
                  </w:tcBorders>
                  <w:tcW w:w="68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3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widowControl w:val="off"/>
        <w:rPr>
          <w:rFonts w:hint="eastAsia"/>
          <w:color w:val="000000"/>
          <w:sz w:val="28"/>
          <w:szCs w:val="28"/>
        </w:rPr>
        <w:suppressLineNumbers/>
      </w:pPr>
      <w:r>
        <w:rPr>
          <w:rFonts w:hint="eastAsia"/>
          <w:color w:val="000000"/>
          <w:sz w:val="28"/>
          <w:szCs w:val="28"/>
        </w:rPr>
      </w:r>
      <w:r>
        <w:rPr>
          <w:rFonts w:hint="eastAsia"/>
          <w:color w:val="000000"/>
          <w:sz w:val="28"/>
          <w:szCs w:val="28"/>
        </w:rPr>
      </w:r>
    </w:p>
    <w:p>
      <w:pPr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w="16838" w:h="11906" w:orient="landscape"/>
      <w:pgMar w:top="1134" w:right="1134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icrosoft Sans Serif">
    <w:panose1 w:val="020B0506020203020204"/>
  </w:font>
  <w:font w:name="BatangChe">
    <w:panose1 w:val="02000506000000020000"/>
  </w:font>
  <w:font w:name="Lucida Sans Unicode">
    <w:panose1 w:val="020B0502040504020204"/>
  </w:font>
  <w:font w:name="TimesET">
    <w:panose1 w:val="02020603050405020304"/>
  </w:font>
  <w:font w:name="Tahoma">
    <w:panose1 w:val="020B0604030504040204"/>
  </w:font>
  <w:font w:name="Courier New">
    <w:panose1 w:val="02070409020205020404"/>
  </w:font>
  <w:font w:name="Mangal">
    <w:panose1 w:val="02040503050306020203"/>
  </w:font>
  <w:font w:name="Calibri">
    <w:panose1 w:val="020F0502020204030204"/>
  </w:font>
  <w:font w:name="Liberation Mono">
    <w:panose1 w:val="02070409020205020404"/>
  </w:font>
  <w:font w:name="Batang">
    <w:panose1 w:val="02000506000000020000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NSimSun">
    <w:panose1 w:val="02000506000000020000"/>
  </w:font>
  <w:font w:name="Wingdings">
    <w:panose1 w:val="05010000000000000000"/>
  </w:font>
  <w:font w:name="Lucida Sans">
    <w:panose1 w:val="020B0502040504020204"/>
  </w:font>
  <w:font w:name="Liberation San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 w:ascii="Times New Roman" w:hAnsi="Times New Roman"/>
        <w:caps w:val="0"/>
        <w:color w:val="auto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 w:ascii="Times New Roman" w:hAnsi="Times New Roman"/>
        <w:caps w:val="0"/>
        <w:color w:val="auto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3600" w:hanging="360"/>
        <w:tabs>
          <w:tab w:val="num" w:pos="36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3600" w:hanging="360"/>
        <w:tabs>
          <w:tab w:val="num" w:pos="36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49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26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3"/>
  </w:num>
  <w:num w:numId="7">
    <w:abstractNumId w:val="15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700"/>
    <w:uiPriority w:val="99"/>
  </w:style>
  <w:style w:type="character" w:styleId="45">
    <w:name w:val="Footer Char"/>
    <w:basedOn w:val="691"/>
    <w:link w:val="702"/>
    <w:uiPriority w:val="99"/>
  </w:style>
  <w:style w:type="character" w:styleId="47">
    <w:name w:val="Caption Char"/>
    <w:basedOn w:val="691"/>
    <w:link w:val="69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 w:customStyle="1">
    <w:name w:val="Заголовок1"/>
    <w:basedOn w:val="690"/>
    <w:next w:val="695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95">
    <w:name w:val="Body Text"/>
    <w:basedOn w:val="690"/>
    <w:pPr>
      <w:spacing w:after="140" w:line="276" w:lineRule="auto"/>
    </w:pPr>
  </w:style>
  <w:style w:type="paragraph" w:styleId="696">
    <w:name w:val="List"/>
    <w:basedOn w:val="695"/>
  </w:style>
  <w:style w:type="paragraph" w:styleId="697">
    <w:name w:val="Caption"/>
    <w:basedOn w:val="690"/>
    <w:qFormat/>
    <w:pPr>
      <w:spacing w:before="120" w:after="120"/>
      <w:suppressLineNumbers/>
    </w:pPr>
    <w:rPr>
      <w:i/>
      <w:iCs/>
    </w:rPr>
  </w:style>
  <w:style w:type="paragraph" w:styleId="698">
    <w:name w:val="index heading"/>
    <w:basedOn w:val="690"/>
    <w:qFormat/>
    <w:pPr>
      <w:suppressLineNumbers/>
    </w:pPr>
  </w:style>
  <w:style w:type="paragraph" w:styleId="699">
    <w:name w:val="No Spacing"/>
    <w:link w:val="710"/>
    <w:qFormat/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700">
    <w:name w:val="Header"/>
    <w:basedOn w:val="690"/>
    <w:link w:val="701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701" w:customStyle="1">
    <w:name w:val="Верхний колонтитул Знак"/>
    <w:basedOn w:val="691"/>
    <w:link w:val="700"/>
    <w:uiPriority w:val="99"/>
    <w:rPr>
      <w:rFonts w:cs="Mangal"/>
      <w:szCs w:val="21"/>
    </w:rPr>
  </w:style>
  <w:style w:type="paragraph" w:styleId="702">
    <w:name w:val="Footer"/>
    <w:basedOn w:val="690"/>
    <w:link w:val="703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703" w:customStyle="1">
    <w:name w:val="Нижний колонтитул Знак"/>
    <w:basedOn w:val="691"/>
    <w:link w:val="702"/>
    <w:uiPriority w:val="99"/>
    <w:rPr>
      <w:rFonts w:cs="Mangal"/>
      <w:szCs w:val="21"/>
    </w:rPr>
  </w:style>
  <w:style w:type="character" w:styleId="704">
    <w:name w:val="Hyperlink"/>
    <w:basedOn w:val="691"/>
    <w:uiPriority w:val="99"/>
    <w:semiHidden/>
    <w:unhideWhenUsed/>
    <w:rPr>
      <w:color w:val="0000ff" w:themeColor="hyperlink"/>
      <w:u w:val="single"/>
    </w:rPr>
  </w:style>
  <w:style w:type="paragraph" w:styleId="705" w:customStyle="1">
    <w:name w:val="ConsPlusNormal"/>
    <w:link w:val="706"/>
    <w:qFormat/>
    <w:pPr>
      <w:widowControl w:val="off"/>
    </w:pPr>
    <w:rPr>
      <w:rFonts w:ascii="Calibri" w:hAnsi="Calibri" w:eastAsia="Times New Roman" w:cs="Calibri"/>
      <w:sz w:val="22"/>
      <w:szCs w:val="20"/>
      <w:lang w:eastAsia="ru-RU" w:bidi="ar-SA"/>
    </w:rPr>
  </w:style>
  <w:style w:type="character" w:styleId="706" w:customStyle="1">
    <w:name w:val="ConsPlusNormal Знак"/>
    <w:link w:val="705"/>
    <w:qFormat/>
    <w:rPr>
      <w:rFonts w:ascii="Calibri" w:hAnsi="Calibri" w:eastAsia="Times New Roman" w:cs="Calibri"/>
      <w:sz w:val="22"/>
      <w:szCs w:val="20"/>
      <w:lang w:eastAsia="ru-RU" w:bidi="ar-SA"/>
    </w:rPr>
  </w:style>
  <w:style w:type="table" w:styleId="707">
    <w:name w:val="Table Grid"/>
    <w:basedOn w:val="6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8">
    <w:name w:val="List Paragraph"/>
    <w:basedOn w:val="690"/>
    <w:link w:val="717"/>
    <w:uiPriority w:val="34"/>
    <w:qFormat/>
    <w:pPr>
      <w:contextualSpacing/>
      <w:ind w:left="720"/>
    </w:pPr>
    <w:rPr>
      <w:rFonts w:cs="Mangal"/>
      <w:szCs w:val="21"/>
    </w:rPr>
  </w:style>
  <w:style w:type="character" w:styleId="709" w:customStyle="1">
    <w:name w:val="apple-converted-space"/>
    <w:basedOn w:val="691"/>
    <w:qFormat/>
  </w:style>
  <w:style w:type="character" w:styleId="710" w:customStyle="1">
    <w:name w:val="Без интервала Знак"/>
    <w:link w:val="699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711" w:customStyle="1">
    <w:name w:val="Основной текст1"/>
    <w:basedOn w:val="691"/>
    <w:uiPriority w:val="99"/>
    <w:rPr>
      <w:rFonts w:ascii="Times New Roman" w:hAnsi="Times New Roman" w:eastAsia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712">
    <w:name w:val="Balloon Text"/>
    <w:basedOn w:val="690"/>
    <w:link w:val="713"/>
    <w:uiPriority w:val="99"/>
    <w:semiHidden/>
    <w:unhideWhenUsed/>
    <w:rPr>
      <w:rFonts w:ascii="Tahoma" w:hAnsi="Tahoma" w:cs="Mangal"/>
      <w:sz w:val="16"/>
      <w:szCs w:val="14"/>
    </w:rPr>
  </w:style>
  <w:style w:type="character" w:styleId="713" w:customStyle="1">
    <w:name w:val="Текст выноски Знак"/>
    <w:basedOn w:val="691"/>
    <w:link w:val="712"/>
    <w:uiPriority w:val="99"/>
    <w:semiHidden/>
    <w:rPr>
      <w:rFonts w:ascii="Tahoma" w:hAnsi="Tahoma" w:cs="Mangal"/>
      <w:sz w:val="16"/>
      <w:szCs w:val="14"/>
    </w:rPr>
  </w:style>
  <w:style w:type="paragraph" w:styleId="714" w:customStyle="1">
    <w:name w:val="msonormal_mailru_css_attribute_postfix"/>
    <w:basedOn w:val="69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715" w:customStyle="1">
    <w:name w:val="msonospacing_mr_css_attr"/>
    <w:basedOn w:val="69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716" w:customStyle="1">
    <w:name w:val="Текст в заданном формате"/>
    <w:basedOn w:val="690"/>
    <w:qFormat/>
    <w:pPr>
      <w:spacing w:line="276" w:lineRule="auto"/>
    </w:pPr>
    <w:rPr>
      <w:rFonts w:ascii="Liberation Mono" w:hAnsi="Liberation Mono" w:eastAsia="Liberation Mono" w:cs="Liberation Mono"/>
      <w:sz w:val="20"/>
      <w:szCs w:val="20"/>
      <w:lang w:eastAsia="en-US" w:bidi="ar-SA"/>
    </w:rPr>
  </w:style>
  <w:style w:type="character" w:styleId="717" w:customStyle="1">
    <w:name w:val="Абзац списка Знак"/>
    <w:link w:val="708"/>
    <w:uiPriority w:val="34"/>
    <w:qFormat/>
    <w:rPr>
      <w:rFonts w:cs="Mangal"/>
      <w:szCs w:val="21"/>
    </w:rPr>
  </w:style>
  <w:style w:type="character" w:styleId="718" w:customStyle="1">
    <w:name w:val="Normal Знак"/>
    <w:link w:val="719"/>
    <w:rPr>
      <w:rFonts w:ascii="TimesET" w:hAnsi="TimesET" w:eastAsia="Times New Roman" w:cs="Times New Roman"/>
      <w:szCs w:val="20"/>
      <w:lang w:eastAsia="ru-RU"/>
    </w:rPr>
  </w:style>
  <w:style w:type="paragraph" w:styleId="719" w:customStyle="1">
    <w:name w:val="Обычный1"/>
    <w:link w:val="718"/>
    <w:pPr>
      <w:jc w:val="both"/>
    </w:pPr>
    <w:rPr>
      <w:rFonts w:ascii="TimesET" w:hAnsi="TimesET" w:eastAsia="Times New Roman" w:cs="Times New Roman"/>
      <w:szCs w:val="20"/>
      <w:lang w:eastAsia="ru-RU"/>
    </w:rPr>
  </w:style>
  <w:style w:type="character" w:styleId="720" w:customStyle="1">
    <w:name w:val="Основной шрифт абзаца1"/>
  </w:style>
  <w:style w:type="character" w:styleId="721" w:customStyle="1">
    <w:name w:val="text"/>
    <w:basedOn w:val="691"/>
  </w:style>
  <w:style w:type="table" w:styleId="722">
    <w:name w:val="Light Shading"/>
    <w:basedOn w:val="692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paragraph" w:styleId="723" w:customStyle="1">
    <w:name w:val="Пункт"/>
    <w:basedOn w:val="690"/>
    <w:pPr>
      <w:ind w:left="1404" w:hanging="504"/>
      <w:widowControl w:val="off"/>
      <w:tabs>
        <w:tab w:val="left" w:pos="16020" w:leader="none"/>
      </w:tabs>
    </w:pPr>
    <w:rPr>
      <w:rFonts w:ascii="Times New Roman" w:hAnsi="Times New Roman" w:eastAsia="Lucida Sans Unicode" w:cs="Times New Roman"/>
      <w:szCs w:val="28"/>
      <w:lang w:eastAsia="ru-RU" w:bidi="ar-SA"/>
    </w:rPr>
  </w:style>
  <w:style w:type="table" w:styleId="724" w:customStyle="1">
    <w:name w:val="Таблица-сетка 1 светлая1"/>
    <w:basedOn w:val="692"/>
    <w:uiPriority w:val="46"/>
    <w:rPr>
      <w:rFonts w:asciiTheme="minorHAnsi" w:hAnsiTheme="minorHAnsi" w:eastAsia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paragraph" w:styleId="725">
    <w:name w:val="Normal (Web)"/>
    <w:basedOn w:val="690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 w:bidi="ar-SA"/>
    </w:rPr>
  </w:style>
  <w:style w:type="character" w:styleId="726" w:customStyle="1">
    <w:name w:val="value"/>
    <w:basedOn w:val="691"/>
  </w:style>
  <w:style w:type="paragraph" w:styleId="727" w:customStyle="1">
    <w:name w:val="ConsTitle"/>
    <w:pPr>
      <w:widowControl w:val="off"/>
    </w:pPr>
    <w:rPr>
      <w:rFonts w:ascii="Arial" w:hAnsi="Arial" w:eastAsia="Arial" w:cs="Times New Roman"/>
      <w:b/>
      <w:sz w:val="16"/>
      <w:szCs w:val="20"/>
      <w:lang w:eastAsia="ar-SA" w:bidi="ar-SA"/>
    </w:rPr>
  </w:style>
  <w:style w:type="paragraph" w:styleId="728" w:customStyle="1">
    <w:name w:val="Базовый"/>
    <w:pPr>
      <w:spacing w:after="200" w:line="276" w:lineRule="auto"/>
    </w:pPr>
    <w:rPr>
      <w:rFonts w:ascii="Calibri" w:hAnsi="Calibri" w:eastAsia="Lucida Sans Unicode" w:cs="Calibri"/>
      <w:color w:val="00000a"/>
      <w:sz w:val="22"/>
      <w:szCs w:val="22"/>
      <w:lang w:eastAsia="en-US" w:bidi="ar-SA"/>
    </w:rPr>
  </w:style>
  <w:style w:type="table" w:styleId="729">
    <w:name w:val="Light List"/>
    <w:basedOn w:val="692"/>
    <w:uiPriority w:val="61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730" w:customStyle="1">
    <w:name w:val="sub3title"/>
    <w:basedOn w:val="690"/>
    <w:pPr>
      <w:jc w:val="both"/>
      <w:spacing w:after="80"/>
      <w:widowControl w:val="off"/>
    </w:pPr>
    <w:rPr>
      <w:rFonts w:ascii="Arial" w:hAnsi="Arial" w:eastAsia="BatangChe" w:cs="Times New Roman"/>
      <w:b/>
      <w:sz w:val="22"/>
      <w:szCs w:val="20"/>
      <w:lang w:val="en-US" w:eastAsia="ko-KR" w:bidi="ar-SA"/>
    </w:rPr>
  </w:style>
  <w:style w:type="paragraph" w:styleId="731" w:customStyle="1">
    <w:name w:val="표준16"/>
    <w:basedOn w:val="690"/>
    <w:pPr>
      <w:jc w:val="both"/>
      <w:spacing w:line="320" w:lineRule="atLeast"/>
      <w:widowControl w:val="off"/>
    </w:pPr>
    <w:rPr>
      <w:rFonts w:ascii="Arial" w:hAnsi="Arial" w:eastAsia="BatangChe" w:cs="Times New Roman"/>
      <w:sz w:val="22"/>
      <w:szCs w:val="20"/>
      <w:lang w:val="en-US" w:eastAsia="ko-KR" w:bidi="ar-SA"/>
    </w:rPr>
  </w:style>
  <w:style w:type="character" w:styleId="732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733">
    <w:name w:val="annotation text"/>
    <w:basedOn w:val="690"/>
    <w:link w:val="734"/>
    <w:uiPriority w:val="99"/>
    <w:semiHidden/>
    <w:unhideWhenUsed/>
    <w:pPr>
      <w:spacing w:after="200"/>
    </w:pPr>
    <w:rPr>
      <w:rFonts w:asciiTheme="minorHAnsi" w:hAnsiTheme="minorHAnsi" w:eastAsiaTheme="minorHAnsi" w:cstheme="minorBidi"/>
      <w:sz w:val="20"/>
      <w:szCs w:val="20"/>
      <w:lang w:eastAsia="en-US" w:bidi="ar-SA"/>
    </w:rPr>
  </w:style>
  <w:style w:type="character" w:styleId="734" w:customStyle="1">
    <w:name w:val="Текст примечания Знак"/>
    <w:basedOn w:val="691"/>
    <w:link w:val="733"/>
    <w:uiPriority w:val="99"/>
    <w:semiHidden/>
    <w:rPr>
      <w:rFonts w:asciiTheme="minorHAnsi" w:hAnsiTheme="minorHAnsi" w:eastAsiaTheme="minorHAnsi" w:cstheme="minorBidi"/>
      <w:sz w:val="20"/>
      <w:szCs w:val="20"/>
      <w:lang w:eastAsia="en-US" w:bidi="ar-SA"/>
    </w:rPr>
  </w:style>
  <w:style w:type="table" w:styleId="73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36" w:customStyle="1">
    <w:name w:val="Table Paragraph"/>
    <w:basedOn w:val="690"/>
    <w:uiPriority w:val="1"/>
    <w:qFormat/>
    <w:pPr>
      <w:ind w:left="115"/>
      <w:spacing w:before="19"/>
      <w:widowControl w:val="off"/>
    </w:pPr>
    <w:rPr>
      <w:rFonts w:ascii="Microsoft Sans Serif" w:hAnsi="Microsoft Sans Serif" w:eastAsia="Microsoft Sans Serif" w:cs="Microsoft Sans Serif"/>
      <w:sz w:val="22"/>
      <w:szCs w:val="22"/>
      <w:lang w:eastAsia="en-US" w:bidi="ar-SA"/>
    </w:rPr>
  </w:style>
  <w:style w:type="table" w:styleId="737" w:customStyle="1">
    <w:name w:val="Сетка таблицы8"/>
    <w:basedOn w:val="692"/>
    <w:uiPriority w:val="39"/>
    <w:rPr>
      <w:rFonts w:ascii="Calibri" w:hAnsi="Calibri" w:eastAsia="Calibri" w:cs="Times New Roman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 w:customStyle="1">
    <w:name w:val="Основной текст 31"/>
    <w:basedOn w:val="690"/>
    <w:pPr>
      <w:jc w:val="both"/>
      <w:spacing w:after="120"/>
    </w:pPr>
    <w:rPr>
      <w:rFonts w:ascii="Times New Roman" w:hAnsi="Times New Roman" w:eastAsia="Times New Roman" w:cs="Times New Roman"/>
      <w:position w:val="2"/>
      <w:sz w:val="16"/>
      <w:szCs w:val="16"/>
      <w:lang w:eastAsia="ar-SA" w:bidi="ar-SA"/>
    </w:rPr>
  </w:style>
  <w:style w:type="paragraph" w:styleId="739" w:customStyle="1">
    <w:name w:val="Знак Знак Знак Знак"/>
    <w:basedOn w:val="690"/>
    <w:pPr>
      <w:spacing w:before="100" w:beforeAutospacing="1" w:after="100" w:afterAutospacing="1"/>
    </w:pPr>
    <w:rPr>
      <w:rFonts w:ascii="Tahoma" w:hAnsi="Tahoma" w:eastAsia="Batang" w:cs="Times New Roman"/>
      <w:sz w:val="20"/>
      <w:szCs w:val="20"/>
      <w:lang w:val="en-US" w:eastAsia="en-US" w:bidi="ar-SA"/>
    </w:rPr>
  </w:style>
  <w:style w:type="paragraph" w:styleId="740" w:customStyle="1">
    <w:name w:val="Default"/>
    <w:rPr>
      <w:rFonts w:ascii="Times New Roman" w:hAnsi="Times New Roman" w:eastAsia="Calibri" w:cs="Times New Roman"/>
      <w:color w:val="000000"/>
      <w:lang w:eastAsia="ru-RU" w:bidi="ar-SA"/>
    </w:rPr>
  </w:style>
  <w:style w:type="table" w:styleId="741" w:customStyle="1">
    <w:name w:val="Сетка таблицы1"/>
    <w:basedOn w:val="692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_1678" w:customStyle="1">
    <w:name w:val="TableStyle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CB9E-F146-4DC7-828C-8E4BE041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user</cp:lastModifiedBy>
  <cp:revision>409</cp:revision>
  <dcterms:created xsi:type="dcterms:W3CDTF">2021-09-27T10:24:00Z</dcterms:created>
  <dcterms:modified xsi:type="dcterms:W3CDTF">2026-03-18T07:20:32Z</dcterms:modified>
</cp:coreProperties>
</file>