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7"/>
        <w:gridCol w:w="4993"/>
      </w:tblGrid>
      <w:tr w:rsidR="009E0013" w:rsidTr="009E0013">
        <w:trPr>
          <w:trHeight w:val="3440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013" w:rsidRDefault="009E0013">
            <w:pPr>
              <w:pStyle w:val="Heading"/>
              <w:spacing w:line="276" w:lineRule="auto"/>
              <w:outlineLvl w:val="9"/>
            </w:pPr>
            <w:r>
              <w:rPr>
                <w:noProof/>
                <w:color w:val="000000"/>
              </w:rPr>
              <w:drawing>
                <wp:inline distT="0" distB="0" distL="0" distR="0" wp14:anchorId="671737A6" wp14:editId="4B390A2D">
                  <wp:extent cx="628650" cy="647700"/>
                  <wp:effectExtent l="0" t="0" r="0" b="0"/>
                  <wp:docPr id="1" name="Рисунок 6" descr="Профессиональное училище №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рофессиональное училище №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013" w:rsidRDefault="009E0013">
            <w:pP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000000"/>
                <w:sz w:val="20"/>
                <w:szCs w:val="20"/>
                <w:lang w:eastAsia="en-US"/>
              </w:rPr>
              <w:t>Государственное автономное</w:t>
            </w:r>
          </w:p>
          <w:p w:rsidR="009E0013" w:rsidRDefault="009E0013">
            <w:pP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000000"/>
                <w:sz w:val="20"/>
                <w:szCs w:val="20"/>
                <w:lang w:eastAsia="en-US"/>
              </w:rPr>
              <w:t>профессиональное образовательное учреждение</w:t>
            </w:r>
          </w:p>
          <w:p w:rsidR="009E0013" w:rsidRDefault="009E0013">
            <w:pP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000000"/>
                <w:sz w:val="20"/>
                <w:szCs w:val="20"/>
                <w:lang w:eastAsia="en-US"/>
              </w:rPr>
              <w:t>Тюменской области</w:t>
            </w:r>
          </w:p>
          <w:p w:rsidR="009E0013" w:rsidRDefault="009E0013">
            <w:pPr>
              <w:spacing w:line="276" w:lineRule="auto"/>
              <w:jc w:val="center"/>
              <w:rPr>
                <w:rFonts w:eastAsia="Arial Unicode MS" w:cs="Arial Unicode MS"/>
                <w:b/>
                <w:color w:val="000000"/>
                <w:lang w:eastAsia="en-US"/>
              </w:rPr>
            </w:pPr>
            <w:r>
              <w:rPr>
                <w:rFonts w:eastAsia="Arial Unicode MS" w:cs="Arial Unicode MS"/>
                <w:b/>
                <w:color w:val="000000"/>
                <w:lang w:eastAsia="en-US"/>
              </w:rPr>
              <w:t>«Тюменский техникум строительной индустрии и городского хозяйства»</w:t>
            </w:r>
          </w:p>
          <w:p w:rsidR="009E0013" w:rsidRDefault="009E0013">
            <w:pPr>
              <w:spacing w:line="276" w:lineRule="auto"/>
              <w:jc w:val="center"/>
              <w:rPr>
                <w:rFonts w:eastAsia="Arial Unicode MS" w:cs="Arial Unicode MS"/>
                <w:b/>
                <w:color w:val="000000"/>
                <w:lang w:eastAsia="en-US"/>
              </w:rPr>
            </w:pPr>
            <w:r>
              <w:rPr>
                <w:rFonts w:eastAsia="Arial Unicode MS" w:cs="Arial Unicode MS"/>
                <w:b/>
                <w:color w:val="000000"/>
                <w:lang w:eastAsia="en-US"/>
              </w:rPr>
              <w:t>(ГАПОУ ТО «ТТСИ и ГХ»)</w:t>
            </w:r>
          </w:p>
          <w:p w:rsidR="009E0013" w:rsidRDefault="009E001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ул. Энергетиков, 45, г. Тюмень, 625013</w:t>
            </w:r>
          </w:p>
          <w:p w:rsidR="009E0013" w:rsidRDefault="009E0013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de-DE" w:eastAsia="en-US"/>
              </w:rPr>
              <w:t xml:space="preserve">            </w:t>
            </w:r>
            <w:r>
              <w:rPr>
                <w:color w:val="000000"/>
                <w:sz w:val="20"/>
                <w:szCs w:val="20"/>
                <w:lang w:eastAsia="en-US"/>
              </w:rPr>
              <w:t>тел</w:t>
            </w:r>
            <w:r>
              <w:rPr>
                <w:color w:val="000000"/>
                <w:sz w:val="20"/>
                <w:szCs w:val="20"/>
                <w:lang w:val="de-DE" w:eastAsia="en-US"/>
              </w:rPr>
              <w:t>: (3452) 68-52-80</w:t>
            </w:r>
            <w:r>
              <w:rPr>
                <w:color w:val="000000"/>
                <w:sz w:val="20"/>
                <w:szCs w:val="20"/>
                <w:lang w:val="de-DE" w:eastAsia="en-US"/>
              </w:rPr>
              <w:tab/>
            </w:r>
          </w:p>
          <w:p w:rsidR="009E0013" w:rsidRDefault="009E0013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color w:val="000000"/>
                <w:lang w:val="de-DE" w:eastAsia="en-US"/>
              </w:rPr>
              <w:t xml:space="preserve"> </w:t>
            </w:r>
            <w:proofErr w:type="spellStart"/>
            <w:r>
              <w:rPr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color w:val="000000"/>
                <w:lang w:val="de-DE" w:eastAsia="en-US"/>
              </w:rPr>
              <w:t xml:space="preserve">: </w:t>
            </w:r>
            <w:hyperlink r:id="rId6" w:history="1">
              <w:r>
                <w:rPr>
                  <w:rStyle w:val="a3"/>
                  <w:color w:val="000000"/>
                  <w:lang w:val="de-DE" w:eastAsia="en-US"/>
                </w:rPr>
                <w:t>tci72@</w:t>
              </w:r>
              <w:r>
                <w:rPr>
                  <w:rStyle w:val="a3"/>
                  <w:color w:val="000000"/>
                  <w:lang w:val="en-US" w:eastAsia="en-US"/>
                </w:rPr>
                <w:t>obl72</w:t>
              </w:r>
              <w:r>
                <w:rPr>
                  <w:rStyle w:val="a3"/>
                  <w:color w:val="000000"/>
                  <w:lang w:val="de-DE" w:eastAsia="en-US"/>
                </w:rPr>
                <w:t>.</w:t>
              </w:r>
              <w:proofErr w:type="spellStart"/>
              <w:r>
                <w:rPr>
                  <w:rStyle w:val="a3"/>
                  <w:color w:val="000000"/>
                  <w:lang w:val="de-DE" w:eastAsia="en-US"/>
                </w:rPr>
                <w:t>ru</w:t>
              </w:r>
              <w:proofErr w:type="spellEnd"/>
            </w:hyperlink>
          </w:p>
          <w:p w:rsidR="009E0013" w:rsidRDefault="009E0013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color w:val="000000"/>
                <w:lang w:eastAsia="en-US"/>
              </w:rPr>
              <w:t>ОКПО</w:t>
            </w:r>
            <w:r>
              <w:rPr>
                <w:color w:val="000000"/>
                <w:lang w:val="en-US" w:eastAsia="en-US"/>
              </w:rPr>
              <w:t xml:space="preserve"> 02524345</w:t>
            </w:r>
          </w:p>
          <w:p w:rsidR="009E0013" w:rsidRDefault="00655EFB">
            <w:pPr>
              <w:spacing w:line="276" w:lineRule="auto"/>
              <w:jc w:val="center"/>
            </w:pPr>
            <w:r>
              <w:rPr>
                <w:color w:val="000000"/>
                <w:lang w:eastAsia="en-US"/>
              </w:rPr>
              <w:t>0</w:t>
            </w:r>
            <w:r w:rsidR="009A78A0">
              <w:rPr>
                <w:color w:val="000000"/>
                <w:lang w:eastAsia="en-US"/>
              </w:rPr>
              <w:t>3</w:t>
            </w:r>
            <w:r w:rsidR="00F97B49">
              <w:rPr>
                <w:color w:val="000000"/>
                <w:lang w:eastAsia="en-US"/>
              </w:rPr>
              <w:t>.0</w:t>
            </w:r>
            <w:r>
              <w:rPr>
                <w:color w:val="000000"/>
                <w:lang w:eastAsia="en-US"/>
              </w:rPr>
              <w:t>3</w:t>
            </w:r>
            <w:r w:rsidR="00F97B49">
              <w:rPr>
                <w:color w:val="000000"/>
                <w:lang w:eastAsia="en-US"/>
              </w:rPr>
              <w:t>.2026</w:t>
            </w:r>
            <w:r w:rsidR="009E0013">
              <w:rPr>
                <w:color w:val="000000"/>
                <w:lang w:eastAsia="en-US"/>
              </w:rPr>
              <w:t xml:space="preserve"> г.  №</w:t>
            </w:r>
            <w:r w:rsidR="00D21907">
              <w:rPr>
                <w:color w:val="000000"/>
                <w:lang w:eastAsia="en-US"/>
              </w:rPr>
              <w:t xml:space="preserve"> </w:t>
            </w:r>
            <w:r w:rsidR="009A78A0">
              <w:rPr>
                <w:color w:val="000000"/>
                <w:lang w:eastAsia="en-US"/>
              </w:rPr>
              <w:t>217</w:t>
            </w:r>
          </w:p>
          <w:p w:rsidR="009E0013" w:rsidRDefault="009E0013">
            <w:pPr>
              <w:spacing w:line="276" w:lineRule="auto"/>
              <w:jc w:val="center"/>
            </w:pPr>
            <w:r>
              <w:rPr>
                <w:color w:val="000000"/>
                <w:lang w:eastAsia="en-US"/>
              </w:rPr>
              <w:t>на № ________ от ____________</w:t>
            </w:r>
          </w:p>
          <w:p w:rsidR="009E0013" w:rsidRDefault="009E0013">
            <w:pPr>
              <w:spacing w:line="276" w:lineRule="auto"/>
              <w:jc w:val="center"/>
              <w:rPr>
                <w:rFonts w:ascii="Georgia" w:hAnsi="Georgia"/>
                <w:b/>
                <w:i/>
                <w:color w:val="000000"/>
                <w:lang w:eastAsia="en-US"/>
              </w:rPr>
            </w:pPr>
          </w:p>
        </w:tc>
        <w:tc>
          <w:tcPr>
            <w:tcW w:w="4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013" w:rsidRDefault="009E0013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  <w:p w:rsidR="009E0013" w:rsidRDefault="009E0013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  <w:p w:rsidR="009E0013" w:rsidRDefault="009E0013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  <w:p w:rsidR="009E0013" w:rsidRDefault="009E0013">
            <w:pPr>
              <w:spacing w:line="276" w:lineRule="auto"/>
              <w:jc w:val="center"/>
              <w:rPr>
                <w:color w:val="000000"/>
                <w:sz w:val="27"/>
                <w:szCs w:val="27"/>
                <w:lang w:eastAsia="en-US"/>
              </w:rPr>
            </w:pPr>
          </w:p>
          <w:p w:rsidR="009E0013" w:rsidRDefault="009E0013">
            <w:pPr>
              <w:spacing w:line="276" w:lineRule="auto"/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  <w:p w:rsidR="009E0013" w:rsidRDefault="009E001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E0013" w:rsidRDefault="009E0013" w:rsidP="009E0013">
      <w:pPr>
        <w:jc w:val="center"/>
        <w:rPr>
          <w:b/>
          <w:i/>
          <w:color w:val="000000"/>
          <w:sz w:val="28"/>
          <w:szCs w:val="28"/>
        </w:rPr>
      </w:pPr>
    </w:p>
    <w:p w:rsidR="009E0013" w:rsidRDefault="009E0013" w:rsidP="009E0013">
      <w:pPr>
        <w:jc w:val="center"/>
        <w:rPr>
          <w:b/>
          <w:i/>
          <w:color w:val="000000"/>
          <w:sz w:val="28"/>
          <w:szCs w:val="28"/>
        </w:rPr>
      </w:pPr>
    </w:p>
    <w:p w:rsidR="00114FE8" w:rsidRDefault="009E0013" w:rsidP="009E0013">
      <w:pPr>
        <w:autoSpaceDE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ГАПОУ «Тюменский техникум строительной индустрии и городского хозяйства» направляет Вам ответ на запрос № </w:t>
      </w:r>
      <w:r w:rsidR="00F97B49">
        <w:rPr>
          <w:color w:val="000000"/>
          <w:sz w:val="28"/>
          <w:szCs w:val="28"/>
        </w:rPr>
        <w:t>23</w:t>
      </w:r>
      <w:r w:rsidR="00655EFB">
        <w:rPr>
          <w:color w:val="000000"/>
          <w:sz w:val="28"/>
          <w:szCs w:val="28"/>
        </w:rPr>
        <w:t>52</w:t>
      </w:r>
      <w:r>
        <w:rPr>
          <w:color w:val="000000"/>
          <w:sz w:val="28"/>
          <w:szCs w:val="28"/>
        </w:rPr>
        <w:t xml:space="preserve"> от </w:t>
      </w:r>
      <w:r w:rsidR="00F97B49">
        <w:rPr>
          <w:color w:val="000000"/>
          <w:sz w:val="28"/>
          <w:szCs w:val="28"/>
        </w:rPr>
        <w:t>2</w:t>
      </w:r>
      <w:r w:rsidR="00655EFB">
        <w:rPr>
          <w:color w:val="000000"/>
          <w:sz w:val="28"/>
          <w:szCs w:val="28"/>
        </w:rPr>
        <w:t>7</w:t>
      </w:r>
      <w:r w:rsidR="00F97B49">
        <w:rPr>
          <w:color w:val="000000"/>
          <w:sz w:val="28"/>
          <w:szCs w:val="28"/>
        </w:rPr>
        <w:t>.02.2026</w:t>
      </w:r>
      <w:r>
        <w:rPr>
          <w:color w:val="000000"/>
          <w:sz w:val="28"/>
          <w:szCs w:val="28"/>
        </w:rPr>
        <w:t xml:space="preserve"> г. </w:t>
      </w:r>
      <w:r>
        <w:rPr>
          <w:rFonts w:eastAsia="Calibri"/>
          <w:color w:val="000000"/>
          <w:sz w:val="28"/>
          <w:szCs w:val="28"/>
        </w:rPr>
        <w:t xml:space="preserve">о разъяснении документации закупки </w:t>
      </w:r>
      <w:r w:rsidR="00114FE8">
        <w:rPr>
          <w:rFonts w:eastAsia="Calibri"/>
          <w:color w:val="000000"/>
          <w:sz w:val="28"/>
          <w:szCs w:val="28"/>
        </w:rPr>
        <w:t xml:space="preserve">в </w:t>
      </w:r>
      <w:r w:rsidR="00114FE8" w:rsidRPr="00114FE8">
        <w:rPr>
          <w:rFonts w:eastAsia="Calibri"/>
          <w:bCs/>
          <w:color w:val="000000"/>
          <w:sz w:val="28"/>
          <w:szCs w:val="28"/>
        </w:rPr>
        <w:t>ЕИС №</w:t>
      </w:r>
      <w:r w:rsidR="00114FE8" w:rsidRPr="00A915FE">
        <w:rPr>
          <w:rFonts w:eastAsia="Calibri"/>
          <w:bCs/>
          <w:color w:val="000000"/>
          <w:sz w:val="28"/>
          <w:szCs w:val="28"/>
        </w:rPr>
        <w:t xml:space="preserve"> </w:t>
      </w:r>
      <w:r w:rsidR="00655EFB" w:rsidRPr="00655EFB">
        <w:rPr>
          <w:rFonts w:eastAsia="Calibri"/>
          <w:bCs/>
          <w:color w:val="000000"/>
          <w:sz w:val="28"/>
          <w:szCs w:val="28"/>
        </w:rPr>
        <w:t>32615707899</w:t>
      </w:r>
      <w:r w:rsidR="00114FE8" w:rsidRPr="00114FE8">
        <w:rPr>
          <w:rFonts w:eastAsia="Calibri"/>
          <w:color w:val="000000"/>
          <w:sz w:val="28"/>
          <w:szCs w:val="28"/>
        </w:rPr>
        <w:t xml:space="preserve">, способ закупки: аукцион, предмет закупки: </w:t>
      </w:r>
      <w:r w:rsidR="00655EFB">
        <w:rPr>
          <w:rFonts w:eastAsia="Calibri"/>
          <w:color w:val="000000"/>
          <w:sz w:val="28"/>
          <w:szCs w:val="28"/>
        </w:rPr>
        <w:t>п</w:t>
      </w:r>
      <w:r w:rsidR="00655EFB" w:rsidRPr="00655EFB">
        <w:rPr>
          <w:rFonts w:eastAsia="Calibri"/>
          <w:color w:val="000000"/>
          <w:sz w:val="28"/>
          <w:szCs w:val="28"/>
        </w:rPr>
        <w:t>оставка и установка программно-аппаратных комплексов и оргтехники для оснащения образовательно-производственного кластера в сфере «Строительная отрасль» на базе Государственного Автономного Профессионального Образовательного Учреждения Тюменской области "Тюменский техникум строительной индустрии и городского хозяйства" в рамках федерального проекта «Профессионалитет» государственной программы Российской Федерации "Развитие образования"</w:t>
      </w:r>
      <w:r w:rsidR="00655EFB">
        <w:rPr>
          <w:rFonts w:eastAsia="Calibri"/>
          <w:color w:val="000000"/>
          <w:sz w:val="28"/>
          <w:szCs w:val="28"/>
        </w:rPr>
        <w:t>.</w:t>
      </w:r>
    </w:p>
    <w:p w:rsidR="00655EFB" w:rsidRDefault="00655EFB" w:rsidP="009E0013">
      <w:pPr>
        <w:autoSpaceDE w:val="0"/>
        <w:ind w:firstLine="709"/>
        <w:jc w:val="both"/>
        <w:rPr>
          <w:sz w:val="28"/>
          <w:szCs w:val="28"/>
          <w:u w:val="single"/>
        </w:rPr>
      </w:pPr>
    </w:p>
    <w:p w:rsidR="009E0013" w:rsidRPr="00114FE8" w:rsidRDefault="009E0013" w:rsidP="00077F2C">
      <w:pPr>
        <w:autoSpaceDE w:val="0"/>
        <w:ind w:firstLine="567"/>
        <w:jc w:val="both"/>
        <w:rPr>
          <w:sz w:val="28"/>
          <w:szCs w:val="28"/>
        </w:rPr>
      </w:pPr>
      <w:r w:rsidRPr="00114FE8">
        <w:rPr>
          <w:sz w:val="28"/>
          <w:szCs w:val="28"/>
        </w:rPr>
        <w:t>Содержание предмета запроса: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ЗАПРОС НА РАЗЪЯСНЕНИЕ ПОЛОЖЕНИЙ ДОКУМЕНТАЦИИ О ЗАКУПКЕ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Предмет закупки: </w:t>
      </w:r>
      <w:r w:rsidRPr="007D366A">
        <w:rPr>
          <w:sz w:val="28"/>
          <w:szCs w:val="28"/>
        </w:rPr>
        <w:t>Поставка и установка программно-аппаратных комплексов и оргтехники для оснащения образовательно-производственного кластера в сфере «Строительная отрасль» на базе ГАПОУ ТО «Тюменский техникум строительной индустрии и городского хозяйства» в рамках федерального проекта «Профессионалитет»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Раздел документации: </w:t>
      </w:r>
      <w:r w:rsidRPr="007D366A">
        <w:rPr>
          <w:sz w:val="28"/>
          <w:szCs w:val="28"/>
        </w:rPr>
        <w:t>Раздел 3 – Техническое задание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Уважаемый Заказчик!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В рамках подготовки заявки на участие в вышеуказанной закупке просим разъяснить следующие положения документации: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I. СРОК ПОСТАВКИ И УСТАНОВКИ ТОВАРА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1. О невозможности исполнения срока поставки в 7 календарных дней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lastRenderedPageBreak/>
        <w:t>В п. 2 Раздела 3 Технического задания указано: «Срок поставки и установки товара (партии): в течении 7 (семи) календарных дней с даты подачи заявки Заказчиком».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Предметом закупки является поставка и установка значительного количества сложного оборудования (всего 67 единиц, включая 5 интерактивных комплексов, широкоформатный плоттер, 54 программно-аппаратных вычислительных комплекса с предустановленным специализированным ПО, 9 единиц печатного оборудования), требующего комплектации, настройки, установки предустановленного ПО, упаковки, доставки в г. Тюмень и выполнения пуско-наладочных работ.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При этом каждый программно-аппаратный комплекс (позиции 3–7) включает в себя системный блок (сборка из множества комплектующих с уникальной спецификацией), монитор, клавиатуру, мышь, а также предустановку операционной системы и от 1 до 3 специализированных программных продуктов с бессрочными лицензиями.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>каким образом потенциальный участник закупки может обеспечить поставку, доставку (место поставки — г. Тюмень), установку и пуско-наладочные работы указанного объёма оборудования в течение 7 календарных дней с момента подачи заявки Заказчиком, учитывая, что: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а) комплектующие для сборки ПК с указанными характеристиками (процессор 4 </w:t>
      </w:r>
      <w:proofErr w:type="spellStart"/>
      <w:r w:rsidRPr="007D366A">
        <w:rPr>
          <w:sz w:val="28"/>
          <w:szCs w:val="28"/>
        </w:rPr>
        <w:t>нм</w:t>
      </w:r>
      <w:proofErr w:type="spellEnd"/>
      <w:r w:rsidRPr="007D366A">
        <w:rPr>
          <w:sz w:val="28"/>
          <w:szCs w:val="28"/>
        </w:rPr>
        <w:t>, DDR5-5600, SSD 2 ТБ, видеокарта с 80 тензорными ядрами и т.д.) не являются массовыми складскими позициями и требуют предварительного заказа у дистрибьюторов;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б) предустановка и активация бессрочных лицензий на специализированное ПО (сметные программы, САПР, BIM-системы) требует дополнительного времени на закупку лицензий у правообладателей;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в) транспортировка крупногабаритного оборудования (интерактивные панели 86", широкоформатный плоттер) в г. Тюмень и проведение пуско-наладочных работ физически требует значительного времени;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г) при подаче заявки Заказчиком сразу после заключения контракта 7 календарных дней фактически делают контракт неисполнимым.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Предлагаем </w:t>
      </w:r>
      <w:r w:rsidRPr="007D366A">
        <w:rPr>
          <w:sz w:val="28"/>
          <w:szCs w:val="28"/>
        </w:rPr>
        <w:t>установить срок поставки не менее 45 (сорока пяти) рабочих дней с даты заключения контракта, либо указать, что заявка Заказчиком подаётся не ранее чем через 30 (тридцать) рабочих дней после заключения контракта.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i/>
          <w:iCs/>
          <w:sz w:val="28"/>
          <w:szCs w:val="28"/>
        </w:rPr>
        <w:t xml:space="preserve">Дополнительно просим пояснить: </w:t>
      </w:r>
      <w:r w:rsidRPr="007D366A">
        <w:rPr>
          <w:i/>
          <w:iCs/>
          <w:sz w:val="28"/>
          <w:szCs w:val="28"/>
        </w:rPr>
        <w:t>не является ли установление столь короткого срока ограничением конкуренции, поскольку фактически к участию допускаются лишь те участники, которые заблаговременно (до проведения закупки) закупили и подготовили всё оборудование именно под данное ТЗ?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II. ТЕХНИЧЕСКИЕ ХАРАКТЕРИСТИКИ, ОГРАНИЧИВАЮЩИЕ КОЛИЧЕСТВО УЧАСТНИКОВ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Вопрос 2. Позиция 1 — Интерактивный комплекс: разъём JAE 80 </w:t>
      </w:r>
      <w:proofErr w:type="spellStart"/>
      <w:r w:rsidRPr="007D366A">
        <w:rPr>
          <w:bCs/>
          <w:sz w:val="28"/>
          <w:szCs w:val="28"/>
        </w:rPr>
        <w:t>pin</w:t>
      </w:r>
      <w:proofErr w:type="spellEnd"/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lastRenderedPageBreak/>
        <w:t xml:space="preserve">В описании интерактивного комплекса указано: «Дополнительный вычислительный блок должен быть один и подключен к интерактивной панели посредством разъёма JAE 80 </w:t>
      </w:r>
      <w:proofErr w:type="spellStart"/>
      <w:r w:rsidRPr="007D366A">
        <w:rPr>
          <w:sz w:val="28"/>
          <w:szCs w:val="28"/>
        </w:rPr>
        <w:t>pin</w:t>
      </w:r>
      <w:proofErr w:type="spellEnd"/>
      <w:r w:rsidRPr="007D366A">
        <w:rPr>
          <w:sz w:val="28"/>
          <w:szCs w:val="28"/>
        </w:rPr>
        <w:t xml:space="preserve"> — Наличие».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Разъём JAE 80 </w:t>
      </w:r>
      <w:proofErr w:type="spellStart"/>
      <w:r w:rsidRPr="007D366A">
        <w:rPr>
          <w:sz w:val="28"/>
          <w:szCs w:val="28"/>
        </w:rPr>
        <w:t>pin</w:t>
      </w:r>
      <w:proofErr w:type="spellEnd"/>
      <w:r w:rsidRPr="007D366A">
        <w:rPr>
          <w:sz w:val="28"/>
          <w:szCs w:val="28"/>
        </w:rPr>
        <w:t xml:space="preserve"> является </w:t>
      </w:r>
      <w:proofErr w:type="spellStart"/>
      <w:r w:rsidRPr="007D366A">
        <w:rPr>
          <w:sz w:val="28"/>
          <w:szCs w:val="28"/>
        </w:rPr>
        <w:t>проприетарным</w:t>
      </w:r>
      <w:proofErr w:type="spellEnd"/>
      <w:r w:rsidRPr="007D366A">
        <w:rPr>
          <w:sz w:val="28"/>
          <w:szCs w:val="28"/>
        </w:rPr>
        <w:t xml:space="preserve"> стандартом подключения OPS-модулей, применяемым ограниченным числом производителей интерактивных панелей. Данное требование существенно сужает круг потенциальных участников.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 xml:space="preserve">допускается ли применение интерактивных панелей с дополнительным вычислительным блоком, подключённым посредством иного стандартного разъёма (например, OPS стандарта SDM, или JAE 60 </w:t>
      </w:r>
      <w:proofErr w:type="spellStart"/>
      <w:r w:rsidRPr="007D366A">
        <w:rPr>
          <w:sz w:val="28"/>
          <w:szCs w:val="28"/>
        </w:rPr>
        <w:t>pin</w:t>
      </w:r>
      <w:proofErr w:type="spellEnd"/>
      <w:r w:rsidRPr="007D366A">
        <w:rPr>
          <w:sz w:val="28"/>
          <w:szCs w:val="28"/>
        </w:rPr>
        <w:t>), обеспечивающего аналогичную функциональность? Если нет — обоснуйте необходимость данного ограничения.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3. Позиции 3–7 — Процессор: множитель, техпроцесс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Для программно-аппаратных комплексов указаны одновременно: «Техпроцесс процессора — не менее 4 </w:t>
      </w:r>
      <w:proofErr w:type="spellStart"/>
      <w:r w:rsidRPr="007D366A">
        <w:rPr>
          <w:sz w:val="28"/>
          <w:szCs w:val="28"/>
        </w:rPr>
        <w:t>нм</w:t>
      </w:r>
      <w:proofErr w:type="spellEnd"/>
      <w:r w:rsidRPr="007D366A">
        <w:rPr>
          <w:sz w:val="28"/>
          <w:szCs w:val="28"/>
        </w:rPr>
        <w:t>» и «Множитель процессора должен быть не менее 41».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Параметр «множитель процессора» не является стандартной потребительской характеристикой и не влияет на функциональные возможности рабочей станции для учебных целей. Данный параметр в совокупности с техпроцессом 4 </w:t>
      </w:r>
      <w:proofErr w:type="spellStart"/>
      <w:r w:rsidRPr="007D366A">
        <w:rPr>
          <w:sz w:val="28"/>
          <w:szCs w:val="28"/>
        </w:rPr>
        <w:t>нм</w:t>
      </w:r>
      <w:proofErr w:type="spellEnd"/>
      <w:r w:rsidRPr="007D366A">
        <w:rPr>
          <w:sz w:val="28"/>
          <w:szCs w:val="28"/>
        </w:rPr>
        <w:t xml:space="preserve"> и частотой турбо &gt;4.9 ГГц указывает на конкретную модель процессора одного производителя.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>какой функциональной необходимостью обусловлено требование к множителю процессора? Просим рассмотреть возможность исключения данного параметра из ТЗ, сохранив требования к количеству ядер, частоте и кэшу.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4. Позиции 3–7 — Видеопроцессор: избыточно точные характеристики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Указаны требования: «Базовая частота видеопроцессора — не менее 2310 МГц; Частота видеопроцессора в турбо режиме — &gt;2570 МГц; Число тензорных ядер — не менее 80; Число ядер трассировки лучей — не менее 20; Разрядность шины памяти — не менее 128 бит».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Совокупность данных параметров (именно 2310 МГц, именно 80 тензорных ядер, именно 20 RT-ядер) однозначно определяет конкретную модель видеокарты одного производителя. Для учебных задач (CAD/САПР, сметные программы, офисная работа) указанные параметры избыточно детализированы.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 xml:space="preserve">допускается ли поставка видеокарт с эквивалентной или лучшей производительностью, но с отличающимися конкретными значениями частот и количества ядер? Просим рассмотреть возможность указания требований к производительности (например, через </w:t>
      </w:r>
      <w:proofErr w:type="spellStart"/>
      <w:r w:rsidRPr="007D366A">
        <w:rPr>
          <w:sz w:val="28"/>
          <w:szCs w:val="28"/>
        </w:rPr>
        <w:t>бенчмарки</w:t>
      </w:r>
      <w:proofErr w:type="spellEnd"/>
      <w:r w:rsidRPr="007D366A">
        <w:rPr>
          <w:sz w:val="28"/>
          <w:szCs w:val="28"/>
        </w:rPr>
        <w:t>) вместо конкретных частот и количеств ядер.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5. Позиции 3–7 — Время отклика монитора: возможная ошибка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Для монитора указано: «Время отклика пикселя у экрана монитора — не менее 4 </w:t>
      </w:r>
      <w:proofErr w:type="spellStart"/>
      <w:r w:rsidRPr="007D366A">
        <w:rPr>
          <w:sz w:val="28"/>
          <w:szCs w:val="28"/>
        </w:rPr>
        <w:t>мс</w:t>
      </w:r>
      <w:proofErr w:type="spellEnd"/>
      <w:r w:rsidRPr="007D366A">
        <w:rPr>
          <w:sz w:val="28"/>
          <w:szCs w:val="28"/>
        </w:rPr>
        <w:t>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Для параметра «время отклика» лучшим показателем является меньшее значение (быстрее отклик = лучше). Формулировка «не менее 4 </w:t>
      </w:r>
      <w:proofErr w:type="spellStart"/>
      <w:r w:rsidRPr="007D366A">
        <w:rPr>
          <w:sz w:val="28"/>
          <w:szCs w:val="28"/>
        </w:rPr>
        <w:t>мс</w:t>
      </w:r>
      <w:proofErr w:type="spellEnd"/>
      <w:r w:rsidRPr="007D366A">
        <w:rPr>
          <w:sz w:val="28"/>
          <w:szCs w:val="28"/>
        </w:rPr>
        <w:t xml:space="preserve">» означает, </w:t>
      </w:r>
      <w:r w:rsidRPr="007D366A">
        <w:rPr>
          <w:sz w:val="28"/>
          <w:szCs w:val="28"/>
        </w:rPr>
        <w:lastRenderedPageBreak/>
        <w:t xml:space="preserve">что монитор должен иметь время отклика 4 </w:t>
      </w:r>
      <w:proofErr w:type="spellStart"/>
      <w:r w:rsidRPr="007D366A">
        <w:rPr>
          <w:sz w:val="28"/>
          <w:szCs w:val="28"/>
        </w:rPr>
        <w:t>мс</w:t>
      </w:r>
      <w:proofErr w:type="spellEnd"/>
      <w:r w:rsidRPr="007D366A">
        <w:rPr>
          <w:sz w:val="28"/>
          <w:szCs w:val="28"/>
        </w:rPr>
        <w:t xml:space="preserve"> или медленнее, что фактически исключает мониторы с лучшим откликом (1 </w:t>
      </w:r>
      <w:proofErr w:type="spellStart"/>
      <w:r w:rsidRPr="007D366A">
        <w:rPr>
          <w:sz w:val="28"/>
          <w:szCs w:val="28"/>
        </w:rPr>
        <w:t>мс</w:t>
      </w:r>
      <w:proofErr w:type="spellEnd"/>
      <w:r w:rsidRPr="007D366A">
        <w:rPr>
          <w:sz w:val="28"/>
          <w:szCs w:val="28"/>
        </w:rPr>
        <w:t xml:space="preserve">, 2 </w:t>
      </w:r>
      <w:proofErr w:type="spellStart"/>
      <w:r w:rsidRPr="007D366A">
        <w:rPr>
          <w:sz w:val="28"/>
          <w:szCs w:val="28"/>
        </w:rPr>
        <w:t>мс</w:t>
      </w:r>
      <w:proofErr w:type="spellEnd"/>
      <w:r w:rsidRPr="007D366A">
        <w:rPr>
          <w:sz w:val="28"/>
          <w:szCs w:val="28"/>
        </w:rPr>
        <w:t>).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уточнить: </w:t>
      </w:r>
      <w:r w:rsidRPr="007D366A">
        <w:rPr>
          <w:sz w:val="28"/>
          <w:szCs w:val="28"/>
        </w:rPr>
        <w:t xml:space="preserve">верно ли, что требуется «не более 4 </w:t>
      </w:r>
      <w:proofErr w:type="spellStart"/>
      <w:r w:rsidRPr="007D366A">
        <w:rPr>
          <w:sz w:val="28"/>
          <w:szCs w:val="28"/>
        </w:rPr>
        <w:t>мс</w:t>
      </w:r>
      <w:proofErr w:type="spellEnd"/>
      <w:r w:rsidRPr="007D366A">
        <w:rPr>
          <w:sz w:val="28"/>
          <w:szCs w:val="28"/>
        </w:rPr>
        <w:t>» (т.е. допускаются мониторы с лучшим временем отклика)? Если формулировка «не менее» указана корректно — просим обосновать необходимость исключения мониторов с лучшим временем отклика.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6. Позиции 3–7 — Время рабочего цикла памяти (CL): возможная ошибка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Для оперативной памяти указано: «Время рабочего цикла памяти (CL) — не менее 40».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Параметр CAS </w:t>
      </w:r>
      <w:proofErr w:type="spellStart"/>
      <w:r w:rsidRPr="007D366A">
        <w:rPr>
          <w:sz w:val="28"/>
          <w:szCs w:val="28"/>
        </w:rPr>
        <w:t>Latency</w:t>
      </w:r>
      <w:proofErr w:type="spellEnd"/>
      <w:r w:rsidRPr="007D366A">
        <w:rPr>
          <w:sz w:val="28"/>
          <w:szCs w:val="28"/>
        </w:rPr>
        <w:t xml:space="preserve"> (CL) — это задержка, и меньшее значение является лучшим (быстрее доступ к данным). Формулировка «не менее 40» означает, что допускается память с CL40 и хуже, а память с CL36, CL32 (более быстрая и качественная) формально не подходит.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уточнить: </w:t>
      </w:r>
      <w:r w:rsidRPr="007D366A">
        <w:rPr>
          <w:sz w:val="28"/>
          <w:szCs w:val="28"/>
        </w:rPr>
        <w:t>верно ли, что требуется «не более 40» (CL40 или лучше)? Если текущая формулировка корректна — просим обосновать необходимость исключения более быстрой памяти.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7. Позиции 3–7 — Накопитель 2 ТБ 2.5" с TBW 960 ТБ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Указаны требования: «Объём накопителя — не менее 2000 Гб; Форм-фактор — не менее 2.5"; Тип флэш-памяти — TLC; Ресурс TBW — не менее 960 Тб; Скорость чтения — не ниже 530 МБ/сек».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Совокупность параметров (именно 2.5" SATA, именно TLC, именно 960 ТБ TBW) существенно ограничивает выбор: SSD объёмом 2 ТБ в форм-факторе 2.5" c ресурсом записи 960 ТБ выпускается крайне ограниченным числом производителей. При этом форм-фактор M.2 </w:t>
      </w:r>
      <w:proofErr w:type="spellStart"/>
      <w:r w:rsidRPr="007D366A">
        <w:rPr>
          <w:sz w:val="28"/>
          <w:szCs w:val="28"/>
        </w:rPr>
        <w:t>NVMe</w:t>
      </w:r>
      <w:proofErr w:type="spellEnd"/>
      <w:r w:rsidRPr="007D366A">
        <w:rPr>
          <w:sz w:val="28"/>
          <w:szCs w:val="28"/>
        </w:rPr>
        <w:t xml:space="preserve"> обеспечивает значительно более высокую производительность при тех же объёмах.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 xml:space="preserve">допускается ли применение накопителя в форм-факторе M.2 </w:t>
      </w:r>
      <w:proofErr w:type="spellStart"/>
      <w:r w:rsidRPr="007D366A">
        <w:rPr>
          <w:sz w:val="28"/>
          <w:szCs w:val="28"/>
        </w:rPr>
        <w:t>NVMe</w:t>
      </w:r>
      <w:proofErr w:type="spellEnd"/>
      <w:r w:rsidRPr="007D366A">
        <w:rPr>
          <w:sz w:val="28"/>
          <w:szCs w:val="28"/>
        </w:rPr>
        <w:t xml:space="preserve"> с аналогичным или большим объёмом, скоростью и ресурсом? Просим рассмотреть возможность расширения требований до «форм-фактор не менее 2.5" или M.2».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8. Позиции 3–7 — Корпус ПК: избыточная детализация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К корпусу ПК предъявлен значительный перечень специфичных требований, включая одновременно: верхнее расположение БП, электромеханический замок с ключом, датчик вскрытия, передняя дверь, скрывающая разъёмы, не менее 4 внешних отсеков 5.25", не менее 4 внутренних отсеков 5.25", более 5 внутренних отсеков 3.5", более 6 слотов расширения, ширина уже 190 мм, высота не менее 440 мм, глубина не шире 460 мм.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Совокупность данных требований (особенно одновременно: верхний БП + 4 внешних отсека 5.25" + </w:t>
      </w:r>
      <w:proofErr w:type="spellStart"/>
      <w:r w:rsidRPr="007D366A">
        <w:rPr>
          <w:sz w:val="28"/>
          <w:szCs w:val="28"/>
        </w:rPr>
        <w:t>электрозамок</w:t>
      </w:r>
      <w:proofErr w:type="spellEnd"/>
      <w:r w:rsidRPr="007D366A">
        <w:rPr>
          <w:sz w:val="28"/>
          <w:szCs w:val="28"/>
        </w:rPr>
        <w:t xml:space="preserve"> + датчик вскрытия + передняя дверь) указывает на конкретную модель корпуса одного производителя. Современные корпуса практически не выпускаются с 4 внешними отсеками 5.25" и верхним расположением БП.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 xml:space="preserve">какими функциональными потребностями обусловлена необходимость 4 внешних отсеков формата 5.25" в учебном ПК? Просим рассмотреть возможность снижения требований к количеству отсеков </w:t>
      </w:r>
      <w:r w:rsidRPr="007D366A">
        <w:rPr>
          <w:sz w:val="28"/>
          <w:szCs w:val="28"/>
        </w:rPr>
        <w:lastRenderedPageBreak/>
        <w:t>5.25" (до 1–2) и допустить как верхнее, так и нижнее расположение БП, что существенно расширит круг подходящих моделей.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9. Позиции 3–7 — Монитор: выдвижная веб-камера и сканер отпечатков пальцев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Указаны требования: «Монитор должен быть оснащён выдвигающейся веб-камерой с двойным (стерео)микрофоном, которая прячется внутрь корпуса» и «Место для установки сканера отпечатков пальцев на боковой части монитора с заглушкой, возможна установка сканера без разбора монитора в модульный отсек — Наличие».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Сочетание выдвижной (скрытой) веб-камеры с разрешением не менее 5 </w:t>
      </w:r>
      <w:proofErr w:type="spellStart"/>
      <w:r w:rsidRPr="007D366A">
        <w:rPr>
          <w:sz w:val="28"/>
          <w:szCs w:val="28"/>
        </w:rPr>
        <w:t>Мп</w:t>
      </w:r>
      <w:proofErr w:type="spellEnd"/>
      <w:r w:rsidRPr="007D366A">
        <w:rPr>
          <w:sz w:val="28"/>
          <w:szCs w:val="28"/>
        </w:rPr>
        <w:t xml:space="preserve">, стерео-микрофоном, модульным отсеком для сканера отпечатков пальцев, портами </w:t>
      </w:r>
      <w:proofErr w:type="spellStart"/>
      <w:r w:rsidRPr="007D366A">
        <w:rPr>
          <w:sz w:val="28"/>
          <w:szCs w:val="28"/>
        </w:rPr>
        <w:t>VGA+HDMI+DisplayPort+USB</w:t>
      </w:r>
      <w:proofErr w:type="spellEnd"/>
      <w:r w:rsidRPr="007D366A">
        <w:rPr>
          <w:sz w:val="28"/>
          <w:szCs w:val="28"/>
        </w:rPr>
        <w:t xml:space="preserve"> 3.1+USB </w:t>
      </w:r>
      <w:proofErr w:type="spellStart"/>
      <w:r w:rsidRPr="007D366A">
        <w:rPr>
          <w:sz w:val="28"/>
          <w:szCs w:val="28"/>
        </w:rPr>
        <w:t>Type-C+аудио+стереоколонки+Kensington</w:t>
      </w:r>
      <w:proofErr w:type="spellEnd"/>
      <w:r w:rsidRPr="007D366A">
        <w:rPr>
          <w:sz w:val="28"/>
          <w:szCs w:val="28"/>
        </w:rPr>
        <w:t xml:space="preserve"> </w:t>
      </w:r>
      <w:proofErr w:type="spellStart"/>
      <w:r w:rsidRPr="007D366A">
        <w:rPr>
          <w:sz w:val="28"/>
          <w:szCs w:val="28"/>
        </w:rPr>
        <w:t>lock+USB-хаб</w:t>
      </w:r>
      <w:proofErr w:type="spellEnd"/>
      <w:r w:rsidRPr="007D366A">
        <w:rPr>
          <w:sz w:val="28"/>
          <w:szCs w:val="28"/>
        </w:rPr>
        <w:t xml:space="preserve"> — всё в одном мониторе с диагональю 27" — характерно для конкретной модели одного производителя корпоративных мониторов.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>допускается ли поставка монитора без встроенного модульного отсека для сканера отпечатков пальцев, при условии поставки внешней USB-камеры со шторкой приватности и стерео-микрофоном эквивалентного качества? Просим рассмотреть возможность разделения требований к монитору и веб-камере.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10. Позиции 3–7 — Материнская плата: объём BIOS 256 Мб и разъём 5V-D-G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Указаны требования: «Объём памяти BIOS — не менее 256 Мб» и «Разъём 5V-D-G — не менее 1 </w:t>
      </w:r>
      <w:proofErr w:type="spellStart"/>
      <w:r w:rsidRPr="007D366A">
        <w:rPr>
          <w:sz w:val="28"/>
          <w:szCs w:val="28"/>
        </w:rPr>
        <w:t>шт</w:t>
      </w:r>
      <w:proofErr w:type="spellEnd"/>
      <w:r w:rsidRPr="007D366A">
        <w:rPr>
          <w:sz w:val="28"/>
          <w:szCs w:val="28"/>
        </w:rPr>
        <w:t>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Объём микросхемы BIOS/UEFI и наличие адресуемого разъёма RGB-подсветки (5V-D-G) не являются функционально значимыми параметрами для учебного рабочего места и не влияют на производительность или функциональные возможности ПК.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>какой функциональной необходимостью обусловлены данные требования для рабочих станций образовательного учреждения? Просим рассмотреть возможность их исключения из ТЗ.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11. Позиция 2 — Широкоформатный модуль: объём постоянной памяти 500 Гб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Для широкоформатного принтера указано: «Объём постоянной памяти — не меньше 500 Гб». Подавляющее большинство широкоформатных плоттеров формата А1 имеет встроенный жёсткий диск объёмом 320–500 Гб. Требование «не меньше 500 Гб» фактически оставляет единственную модель одного производителя.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уточнить: </w:t>
      </w:r>
      <w:r w:rsidRPr="007D366A">
        <w:rPr>
          <w:sz w:val="28"/>
          <w:szCs w:val="28"/>
        </w:rPr>
        <w:t>допускается ли плоттер с объёмом встроенной постоянной памяти не менее 320 Гб? Если нет — просим обосновать необходимость именно 500 Гб для учебных задач.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12. Позиция 2 — Широкоформатный модуль: технология печати «пузырьково-струйная»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Указано: «Технология печати должна быть пузырьково-струйная». Данная технология (термическая струйная / </w:t>
      </w:r>
      <w:proofErr w:type="spellStart"/>
      <w:r w:rsidRPr="007D366A">
        <w:rPr>
          <w:sz w:val="28"/>
          <w:szCs w:val="28"/>
        </w:rPr>
        <w:t>bubble</w:t>
      </w:r>
      <w:proofErr w:type="spellEnd"/>
      <w:r w:rsidRPr="007D366A">
        <w:rPr>
          <w:sz w:val="28"/>
          <w:szCs w:val="28"/>
        </w:rPr>
        <w:t xml:space="preserve"> </w:t>
      </w:r>
      <w:proofErr w:type="spellStart"/>
      <w:r w:rsidRPr="007D366A">
        <w:rPr>
          <w:sz w:val="28"/>
          <w:szCs w:val="28"/>
        </w:rPr>
        <w:t>jet</w:t>
      </w:r>
      <w:proofErr w:type="spellEnd"/>
      <w:r w:rsidRPr="007D366A">
        <w:rPr>
          <w:sz w:val="28"/>
          <w:szCs w:val="28"/>
        </w:rPr>
        <w:t>) является фирменной технологией одного конкретного производителя (</w:t>
      </w:r>
      <w:proofErr w:type="spellStart"/>
      <w:r w:rsidRPr="007D366A">
        <w:rPr>
          <w:sz w:val="28"/>
          <w:szCs w:val="28"/>
        </w:rPr>
        <w:t>Canon</w:t>
      </w:r>
      <w:proofErr w:type="spellEnd"/>
      <w:r w:rsidRPr="007D366A">
        <w:rPr>
          <w:sz w:val="28"/>
          <w:szCs w:val="28"/>
        </w:rPr>
        <w:t xml:space="preserve">). Альтернативные </w:t>
      </w:r>
      <w:r w:rsidRPr="007D366A">
        <w:rPr>
          <w:sz w:val="28"/>
          <w:szCs w:val="28"/>
        </w:rPr>
        <w:lastRenderedPageBreak/>
        <w:t>производители широкоформатных плоттеров используют пьезоэлектрическую технологию (</w:t>
      </w:r>
      <w:proofErr w:type="spellStart"/>
      <w:r w:rsidRPr="007D366A">
        <w:rPr>
          <w:sz w:val="28"/>
          <w:szCs w:val="28"/>
        </w:rPr>
        <w:t>Epson</w:t>
      </w:r>
      <w:proofErr w:type="spellEnd"/>
      <w:r w:rsidRPr="007D366A">
        <w:rPr>
          <w:sz w:val="28"/>
          <w:szCs w:val="28"/>
        </w:rPr>
        <w:t>, HP), которая обеспечивает аналогичное или лучшее качество печати.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разъяснить: </w:t>
      </w:r>
      <w:r w:rsidRPr="007D366A">
        <w:rPr>
          <w:sz w:val="28"/>
          <w:szCs w:val="28"/>
        </w:rPr>
        <w:t>допускается ли поставка широкоформатного плоттера с пьезоэлектрической струйной технологией печати, обеспечивающей аналогичное качество? Просим рассмотреть формулировку «Технология печати — струйная» без указания конкретного типа.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III. ПРОГРАММНОЕ ОБЕСПЕЧЕНИЕ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13. Все позиции — наименования программных продуктов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В ТЗ используются обобщённые формулировки для ПО: «Средства для обработки текстовой, табличной информации», «Средство для создания чертежей и 3D-моделей», «Система трёхмерного проектирования», «Среда программирования для создания алгоритмов работы программируемых реле», «Комплекс для подсчёта сметной стоимости строительства», «Система для комплексного проектирования зданий».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уточнить: </w:t>
      </w:r>
      <w:r w:rsidRPr="007D366A">
        <w:rPr>
          <w:sz w:val="28"/>
          <w:szCs w:val="28"/>
        </w:rPr>
        <w:t>имеет ли Заказчик предпочтения по конкретным программным продуктам (наименования, разработчики) для каждой категории? Допускаются ли к поставке следующие продукты: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— Офисный пакет: </w:t>
      </w:r>
      <w:proofErr w:type="spellStart"/>
      <w:r w:rsidRPr="007D366A">
        <w:rPr>
          <w:sz w:val="28"/>
          <w:szCs w:val="28"/>
        </w:rPr>
        <w:t>МойОфис</w:t>
      </w:r>
      <w:proofErr w:type="spellEnd"/>
      <w:r w:rsidRPr="007D366A">
        <w:rPr>
          <w:sz w:val="28"/>
          <w:szCs w:val="28"/>
        </w:rPr>
        <w:t xml:space="preserve"> Стандартный, Р7-Офис, </w:t>
      </w:r>
      <w:proofErr w:type="spellStart"/>
      <w:r w:rsidRPr="007D366A">
        <w:rPr>
          <w:sz w:val="28"/>
          <w:szCs w:val="28"/>
        </w:rPr>
        <w:t>LibreOffice</w:t>
      </w:r>
      <w:proofErr w:type="spellEnd"/>
      <w:r w:rsidRPr="007D366A">
        <w:rPr>
          <w:sz w:val="28"/>
          <w:szCs w:val="28"/>
        </w:rPr>
        <w:t xml:space="preserve"> (для каких позиций какой допустим)?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  <w:lang w:val="en-US"/>
        </w:rPr>
      </w:pPr>
      <w:r w:rsidRPr="007D366A">
        <w:rPr>
          <w:sz w:val="28"/>
          <w:szCs w:val="28"/>
          <w:lang w:val="en-US"/>
        </w:rPr>
        <w:t xml:space="preserve">— </w:t>
      </w:r>
      <w:r w:rsidRPr="007D366A">
        <w:rPr>
          <w:sz w:val="28"/>
          <w:szCs w:val="28"/>
        </w:rPr>
        <w:t>САПР</w:t>
      </w:r>
      <w:r w:rsidRPr="007D366A">
        <w:rPr>
          <w:sz w:val="28"/>
          <w:szCs w:val="28"/>
          <w:lang w:val="en-US"/>
        </w:rPr>
        <w:t xml:space="preserve">: </w:t>
      </w:r>
      <w:r w:rsidRPr="007D366A">
        <w:rPr>
          <w:sz w:val="28"/>
          <w:szCs w:val="28"/>
        </w:rPr>
        <w:t>КОМПАС</w:t>
      </w:r>
      <w:r w:rsidRPr="007D366A">
        <w:rPr>
          <w:sz w:val="28"/>
          <w:szCs w:val="28"/>
          <w:lang w:val="en-US"/>
        </w:rPr>
        <w:t xml:space="preserve">-3D, </w:t>
      </w:r>
      <w:proofErr w:type="spellStart"/>
      <w:r w:rsidRPr="007D366A">
        <w:rPr>
          <w:sz w:val="28"/>
          <w:szCs w:val="28"/>
          <w:lang w:val="en-US"/>
        </w:rPr>
        <w:t>nanoCAD</w:t>
      </w:r>
      <w:proofErr w:type="spellEnd"/>
      <w:r w:rsidRPr="007D366A">
        <w:rPr>
          <w:sz w:val="28"/>
          <w:szCs w:val="28"/>
          <w:lang w:val="en-US"/>
        </w:rPr>
        <w:t>, T-FLEX CAD?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— Сметное ПО: ГРАНД-Смета, Адепт, </w:t>
      </w:r>
      <w:proofErr w:type="spellStart"/>
      <w:r w:rsidRPr="007D366A">
        <w:rPr>
          <w:sz w:val="28"/>
          <w:szCs w:val="28"/>
        </w:rPr>
        <w:t>SmetaWIZARD</w:t>
      </w:r>
      <w:proofErr w:type="spellEnd"/>
      <w:r w:rsidRPr="007D366A">
        <w:rPr>
          <w:sz w:val="28"/>
          <w:szCs w:val="28"/>
        </w:rPr>
        <w:t>, 1</w:t>
      </w:r>
      <w:proofErr w:type="gramStart"/>
      <w:r w:rsidRPr="007D366A">
        <w:rPr>
          <w:sz w:val="28"/>
          <w:szCs w:val="28"/>
        </w:rPr>
        <w:t>С:Смета</w:t>
      </w:r>
      <w:proofErr w:type="gramEnd"/>
      <w:r w:rsidRPr="007D366A">
        <w:rPr>
          <w:sz w:val="28"/>
          <w:szCs w:val="28"/>
        </w:rPr>
        <w:t>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  <w:lang w:val="en-US"/>
        </w:rPr>
      </w:pPr>
      <w:r w:rsidRPr="007D366A">
        <w:rPr>
          <w:sz w:val="28"/>
          <w:szCs w:val="28"/>
          <w:lang w:val="en-US"/>
        </w:rPr>
        <w:t>— BIM-</w:t>
      </w:r>
      <w:r w:rsidRPr="007D366A">
        <w:rPr>
          <w:sz w:val="28"/>
          <w:szCs w:val="28"/>
        </w:rPr>
        <w:t>система</w:t>
      </w:r>
      <w:r w:rsidRPr="007D366A">
        <w:rPr>
          <w:sz w:val="28"/>
          <w:szCs w:val="28"/>
          <w:lang w:val="en-US"/>
        </w:rPr>
        <w:t xml:space="preserve">: </w:t>
      </w:r>
      <w:proofErr w:type="spellStart"/>
      <w:r w:rsidRPr="007D366A">
        <w:rPr>
          <w:sz w:val="28"/>
          <w:szCs w:val="28"/>
          <w:lang w:val="en-US"/>
        </w:rPr>
        <w:t>Renga</w:t>
      </w:r>
      <w:proofErr w:type="spellEnd"/>
      <w:r w:rsidRPr="007D366A">
        <w:rPr>
          <w:sz w:val="28"/>
          <w:szCs w:val="28"/>
          <w:lang w:val="en-US"/>
        </w:rPr>
        <w:t>, Model Studio CS?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— Среда для реле: </w:t>
      </w:r>
      <w:proofErr w:type="spellStart"/>
      <w:r w:rsidRPr="007D366A">
        <w:rPr>
          <w:sz w:val="28"/>
          <w:szCs w:val="28"/>
        </w:rPr>
        <w:t>Owen</w:t>
      </w:r>
      <w:proofErr w:type="spellEnd"/>
      <w:r w:rsidRPr="007D366A">
        <w:rPr>
          <w:sz w:val="28"/>
          <w:szCs w:val="28"/>
        </w:rPr>
        <w:t xml:space="preserve"> </w:t>
      </w:r>
      <w:proofErr w:type="spellStart"/>
      <w:r w:rsidRPr="007D366A">
        <w:rPr>
          <w:sz w:val="28"/>
          <w:szCs w:val="28"/>
        </w:rPr>
        <w:t>Logic</w:t>
      </w:r>
      <w:proofErr w:type="spellEnd"/>
      <w:r w:rsidRPr="007D366A">
        <w:rPr>
          <w:sz w:val="28"/>
          <w:szCs w:val="28"/>
        </w:rPr>
        <w:t>, CODESYS, Полигон?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 xml:space="preserve">Также просим уточнить: требуется ли включение ПО в Единый реестр российских программ для ЭВМ (реестр </w:t>
      </w:r>
      <w:proofErr w:type="spellStart"/>
      <w:r w:rsidRPr="007D366A">
        <w:rPr>
          <w:sz w:val="28"/>
          <w:szCs w:val="28"/>
        </w:rPr>
        <w:t>Минцифры</w:t>
      </w:r>
      <w:proofErr w:type="spellEnd"/>
      <w:r w:rsidRPr="007D366A">
        <w:rPr>
          <w:sz w:val="28"/>
          <w:szCs w:val="28"/>
        </w:rPr>
        <w:t>)?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14. Предустановленная ОС — требования к конкретной системе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Во всех позициях указано: «Предустановленная операционная система — Наличие», без уточнения конкретной ОС.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уточнить: </w:t>
      </w:r>
      <w:r w:rsidRPr="007D366A">
        <w:rPr>
          <w:sz w:val="28"/>
          <w:szCs w:val="28"/>
        </w:rPr>
        <w:t xml:space="preserve">какая именно операционная система допускается к предустановке? Требуется ли ОС из реестра отечественного ПО (например, </w:t>
      </w:r>
      <w:proofErr w:type="spellStart"/>
      <w:r w:rsidRPr="007D366A">
        <w:rPr>
          <w:sz w:val="28"/>
          <w:szCs w:val="28"/>
        </w:rPr>
        <w:t>Astra</w:t>
      </w:r>
      <w:proofErr w:type="spellEnd"/>
      <w:r w:rsidRPr="007D366A">
        <w:rPr>
          <w:sz w:val="28"/>
          <w:szCs w:val="28"/>
        </w:rPr>
        <w:t xml:space="preserve"> </w:t>
      </w:r>
      <w:proofErr w:type="spellStart"/>
      <w:r w:rsidRPr="007D366A">
        <w:rPr>
          <w:sz w:val="28"/>
          <w:szCs w:val="28"/>
        </w:rPr>
        <w:t>Linux</w:t>
      </w:r>
      <w:proofErr w:type="spellEnd"/>
      <w:r w:rsidRPr="007D366A">
        <w:rPr>
          <w:sz w:val="28"/>
          <w:szCs w:val="28"/>
        </w:rPr>
        <w:t xml:space="preserve"> SE, РЕД ОС, ОС Альт)? Есть ли предпочтения Заказчика? Должна ли ОС быть совместима с указанным в ТЗ прикладным ПО?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IV. ИНЫЕ ВОПРОСЫ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15. Идентичные позиции 3 и 4 — различия в ПО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Позиции 3 и 4 имеют полностью идентичные технические характеристики оборудования (процессор, видеокарта, память, накопитель, корпус, монитор, периферия), но различаются составом ПО: позиция 3 включает «Средство для создания чертежей и 3D-моделей», а позиция 4 — «Систему трёхмерного проектирования» и «Среду программирования для создания алгоритмов работы программируемых реле».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уточнить: </w:t>
      </w:r>
      <w:r w:rsidRPr="007D366A">
        <w:rPr>
          <w:sz w:val="28"/>
          <w:szCs w:val="28"/>
        </w:rPr>
        <w:t>в чём функциональное различие между «средством для создания чертежей и 3D-моделей» (позиция 3) и «системой трёхмерного проектирования» (позиция 4)? Это одно и то же ПО (например, КОМПАС-3D) или разные продукты?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>Вопрос 16. Код ОКПД2 для широкоформатного плоттера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lastRenderedPageBreak/>
        <w:t>Для позиции 2 (широкоформатный плоттер) указан код ОКПД2 26.20.16.123, который соответствует «Устройства запоминающие и прочие устройства хранения данных». Для печатного оборудования более корректным представляется код из группы 26.20.18 (Оборудование периферийное).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bCs/>
          <w:sz w:val="28"/>
          <w:szCs w:val="28"/>
        </w:rPr>
        <w:t xml:space="preserve">Просим уточнить: </w:t>
      </w:r>
      <w:r w:rsidRPr="007D366A">
        <w:rPr>
          <w:sz w:val="28"/>
          <w:szCs w:val="28"/>
        </w:rPr>
        <w:t>корректно ли указан код ОКПД2 для данной позиции?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На основании изложенного, просим предоставить разъяснения по указанным вопросам в установленные законодательством сроки.</w:t>
      </w:r>
    </w:p>
    <w:p w:rsidR="00882D18" w:rsidRPr="007D366A" w:rsidRDefault="00882D18" w:rsidP="00882D18">
      <w:pPr>
        <w:autoSpaceDE w:val="0"/>
        <w:ind w:firstLine="567"/>
        <w:jc w:val="both"/>
        <w:rPr>
          <w:sz w:val="28"/>
          <w:szCs w:val="28"/>
        </w:rPr>
      </w:pPr>
      <w:r w:rsidRPr="007D366A">
        <w:rPr>
          <w:sz w:val="28"/>
          <w:szCs w:val="28"/>
        </w:rPr>
        <w:t>Считаем, что внесение предлагаемых изменений позволит расширить круг потенциальных участников закупки, обеспечить конкурентную среду и привлечь наиболее выгодные ценовые предложения, что отвечает интересам Заказчика и целям эффективного расходования бюджетных средств в рамках федерального проекта «Профессионалитет».</w:t>
      </w:r>
    </w:p>
    <w:p w:rsidR="003A091C" w:rsidRDefault="003A091C" w:rsidP="003A091C">
      <w:pPr>
        <w:autoSpaceDE w:val="0"/>
        <w:ind w:firstLine="567"/>
        <w:jc w:val="both"/>
        <w:rPr>
          <w:sz w:val="28"/>
          <w:szCs w:val="28"/>
        </w:rPr>
      </w:pPr>
    </w:p>
    <w:p w:rsidR="009E0013" w:rsidRDefault="009E0013" w:rsidP="00655EFB">
      <w:pPr>
        <w:autoSpaceDE w:val="0"/>
        <w:spacing w:after="240"/>
        <w:ind w:firstLine="567"/>
        <w:jc w:val="both"/>
        <w:rPr>
          <w:sz w:val="28"/>
          <w:szCs w:val="28"/>
        </w:rPr>
      </w:pPr>
      <w:r w:rsidRPr="009A78A0">
        <w:rPr>
          <w:sz w:val="28"/>
          <w:szCs w:val="28"/>
        </w:rPr>
        <w:t xml:space="preserve">Рассмотрев запрос </w:t>
      </w:r>
      <w:r w:rsidR="00F91AA3" w:rsidRPr="009A78A0">
        <w:rPr>
          <w:sz w:val="28"/>
          <w:szCs w:val="28"/>
        </w:rPr>
        <w:t>№ 23</w:t>
      </w:r>
      <w:r w:rsidR="00655EFB" w:rsidRPr="009A78A0">
        <w:rPr>
          <w:sz w:val="28"/>
          <w:szCs w:val="28"/>
        </w:rPr>
        <w:t>52</w:t>
      </w:r>
      <w:r w:rsidR="00F91AA3" w:rsidRPr="009A78A0">
        <w:rPr>
          <w:sz w:val="28"/>
          <w:szCs w:val="28"/>
        </w:rPr>
        <w:t xml:space="preserve"> от 2</w:t>
      </w:r>
      <w:r w:rsidR="00655EFB" w:rsidRPr="009A78A0">
        <w:rPr>
          <w:sz w:val="28"/>
          <w:szCs w:val="28"/>
        </w:rPr>
        <w:t>7</w:t>
      </w:r>
      <w:r w:rsidR="00F91AA3" w:rsidRPr="009A78A0">
        <w:rPr>
          <w:sz w:val="28"/>
          <w:szCs w:val="28"/>
        </w:rPr>
        <w:t xml:space="preserve">.02.2026 г. </w:t>
      </w:r>
      <w:r w:rsidRPr="009A78A0">
        <w:rPr>
          <w:sz w:val="28"/>
          <w:szCs w:val="28"/>
        </w:rPr>
        <w:t>сообщаю следующее:</w:t>
      </w:r>
    </w:p>
    <w:p w:rsidR="009A78A0" w:rsidRDefault="009A78A0" w:rsidP="009A78A0">
      <w:pPr>
        <w:autoSpaceDE w:val="0"/>
        <w:ind w:firstLine="567"/>
        <w:jc w:val="both"/>
        <w:rPr>
          <w:sz w:val="28"/>
          <w:szCs w:val="28"/>
        </w:rPr>
      </w:pPr>
      <w:r w:rsidRPr="009A78A0">
        <w:rPr>
          <w:sz w:val="28"/>
          <w:szCs w:val="28"/>
        </w:rPr>
        <w:t xml:space="preserve">По вопросу 1: Поставщик может произвести необходимые для поставки действия с момента заключения договора. Сроки поставки указаны с учетом сроков реализации федерального проекта «Профессионалитет», а также с учетом необходимости поставки товаров после завершения ремонтных работ в местах установки закупаемого оборудования. Заказчик вправе самостоятельно определять условия договора. </w:t>
      </w:r>
    </w:p>
    <w:p w:rsidR="009A78A0" w:rsidRDefault="009A78A0" w:rsidP="009A78A0">
      <w:pPr>
        <w:autoSpaceDE w:val="0"/>
        <w:ind w:firstLine="567"/>
        <w:jc w:val="both"/>
        <w:rPr>
          <w:sz w:val="28"/>
          <w:szCs w:val="28"/>
        </w:rPr>
      </w:pPr>
      <w:r w:rsidRPr="009A78A0">
        <w:rPr>
          <w:sz w:val="28"/>
          <w:szCs w:val="28"/>
        </w:rPr>
        <w:t xml:space="preserve">По вопросу 2: Исходя из положений части 6.1 Закона о закупках (223- ФЗ), что Заказчики при описании объекта закупки должны таким образом установить требования к закупаемым товарам, чтобы, приобрести товар, именно с такими характеристиками, которые ему необходимы. Следовательно, при формировании технического задания заказчику в рамках Закона о закупках предоставлены полномочия по самостоятельному определению параметров и характеристик товара, в наибольшей степени удовлетворяющих его потребности. Заказчик вправе в необходимой степени детализировать предмет закупки и установить характеристики, являющиеся значимыми для Заказчика. Характеристики объекта установлены с учетом особенностей ведения образовательной деятельности. </w:t>
      </w:r>
    </w:p>
    <w:p w:rsidR="009A78A0" w:rsidRDefault="009A78A0" w:rsidP="009A78A0">
      <w:pPr>
        <w:autoSpaceDE w:val="0"/>
        <w:ind w:firstLine="567"/>
        <w:jc w:val="both"/>
        <w:rPr>
          <w:sz w:val="28"/>
          <w:szCs w:val="28"/>
        </w:rPr>
      </w:pPr>
      <w:r w:rsidRPr="009A78A0">
        <w:rPr>
          <w:sz w:val="28"/>
          <w:szCs w:val="28"/>
        </w:rPr>
        <w:t xml:space="preserve">По вопросу 3: Исходя из положений части 6.1 Закона о закупках (223- ФЗ), что Заказчики при описании объекта закупки должны таким образом установить требования к закупаемым товарам, чтобы, приобрести товар, именно с такими характеристиками, которые ему необходимы. Следовательно, при формировании технического задания заказчику в рамках Закона о закупках предоставлены полномочия по самостоятельному определению параметров и характеристик товара, в наибольшей степени удовлетворяющих его потребности. Заказчик вправе в необходимой степени детализировать предмет закупки и установить характеристики, являющиеся значимыми для Заказчика. При формировании документации о закупке был исследован рынок товаров, получены коммерческие предложения от трех поставщиков, которые подтвердили готовность поставить оборудование, необходимое Заказчику. </w:t>
      </w:r>
    </w:p>
    <w:p w:rsidR="009A78A0" w:rsidRDefault="009A78A0" w:rsidP="009A78A0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вопросу 4-12</w:t>
      </w:r>
      <w:r w:rsidRPr="009A78A0">
        <w:rPr>
          <w:sz w:val="28"/>
          <w:szCs w:val="28"/>
        </w:rPr>
        <w:t xml:space="preserve">: Исходя из положений части 6.1 Закона о закупках (223-ФЗ), что Заказчики при описании объекта закупки должны таким образом установить требования к закупаемым товарам, чтобы, приобрести товар, именно с такими характеристиками, которые ему необходимы. Следовательно, при формировании технического задания заказчику в рамках Закона о закупках предоставлены полномочия по самостоятельному определению параметров и характеристик товара, в наибольшей степени удовлетворяющих его потребности. Заказчик вправе в необходимой степени детализировать предмет закупки и установить характеристики, являющиеся значимыми для Заказчика. Участник закупки, подавший заявку, подтверждает готовность поставки товара, соответствующего описанию объекта закупки. Отклонение от условий поставки не является надлежащим исполнением обязательств. </w:t>
      </w:r>
    </w:p>
    <w:p w:rsidR="009A78A0" w:rsidRDefault="009A78A0" w:rsidP="009A78A0">
      <w:pPr>
        <w:autoSpaceDE w:val="0"/>
        <w:ind w:firstLine="567"/>
        <w:jc w:val="both"/>
        <w:rPr>
          <w:sz w:val="28"/>
          <w:szCs w:val="28"/>
        </w:rPr>
      </w:pPr>
      <w:r w:rsidRPr="009A78A0">
        <w:rPr>
          <w:sz w:val="28"/>
          <w:szCs w:val="28"/>
        </w:rPr>
        <w:t xml:space="preserve">По вопросам 13-14: требования к характеристикам программного обеспечения указаны в соответствии с требованиями к описанию объекта закупки в силу Федерального закона №223-ФЗ и потребностями Заказчика, указание товарных знаком или обозначений являлось бы ограничением конкуренции, функциональные возможности, необходимые Заказчику, указаны в описании объекта закупки. Характеристики объекта установлены с учетом особенностей ведения образовательной деятельности. </w:t>
      </w:r>
    </w:p>
    <w:p w:rsidR="009A78A0" w:rsidRDefault="009A78A0" w:rsidP="009A78A0">
      <w:pPr>
        <w:autoSpaceDE w:val="0"/>
        <w:ind w:firstLine="567"/>
        <w:jc w:val="both"/>
        <w:rPr>
          <w:sz w:val="28"/>
          <w:szCs w:val="28"/>
        </w:rPr>
      </w:pPr>
      <w:r w:rsidRPr="009A78A0">
        <w:rPr>
          <w:sz w:val="28"/>
          <w:szCs w:val="28"/>
        </w:rPr>
        <w:t xml:space="preserve">По вопросу 15: Исходя из положений части 6.1 Закона о закупках (223- ФЗ), что Заказчики при описании объекта закупки должны таким образом установить требования к закупаемым товарам, чтобы, приобрести товар, именно с такими характеристиками, которые ему необходимы. Следовательно, при формировании технического задания заказчику в рамках Закона о закупках предоставлены полномочия по самостоятельному определению параметров и характеристик товара, в наибольшей степени удовлетворяющих его потребности. Заказчик вправе в необходимой степени детализировать предмет закупки и установить характеристики, являющиеся значимыми для Заказчика. Характеристики объекта установлены с учетом особенностей ведения образовательной деятельности. </w:t>
      </w:r>
    </w:p>
    <w:p w:rsidR="009E0013" w:rsidRPr="009A78A0" w:rsidRDefault="009A78A0" w:rsidP="009A78A0">
      <w:pPr>
        <w:autoSpaceDE w:val="0"/>
        <w:ind w:firstLine="567"/>
        <w:jc w:val="both"/>
        <w:rPr>
          <w:sz w:val="28"/>
          <w:szCs w:val="28"/>
        </w:rPr>
      </w:pPr>
      <w:r w:rsidRPr="009A78A0">
        <w:rPr>
          <w:sz w:val="28"/>
          <w:szCs w:val="28"/>
        </w:rPr>
        <w:t>По вопросу 16: Код ОКПД2 по 223-ФЗ выбирается заказчиком самостоятельно на основе предмета закупки и характеристик товара/услуги, что и было сделано при формировании закупки</w:t>
      </w:r>
    </w:p>
    <w:p w:rsidR="009E0013" w:rsidRDefault="009E0013" w:rsidP="009E001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9E0013" w:rsidRDefault="00CE5105" w:rsidP="009E0013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9E0013">
        <w:rPr>
          <w:b/>
          <w:sz w:val="28"/>
          <w:szCs w:val="28"/>
        </w:rPr>
        <w:t xml:space="preserve">иректор </w:t>
      </w:r>
      <w:r w:rsidR="009E0013">
        <w:rPr>
          <w:b/>
          <w:sz w:val="28"/>
          <w:szCs w:val="28"/>
        </w:rPr>
        <w:tab/>
      </w:r>
      <w:r w:rsidR="009E0013">
        <w:rPr>
          <w:b/>
          <w:sz w:val="28"/>
          <w:szCs w:val="28"/>
        </w:rPr>
        <w:tab/>
      </w:r>
      <w:r w:rsidR="00C51EE1">
        <w:rPr>
          <w:b/>
          <w:sz w:val="28"/>
          <w:szCs w:val="28"/>
        </w:rPr>
        <w:t xml:space="preserve">                               </w:t>
      </w:r>
      <w:r w:rsidR="009E0013">
        <w:rPr>
          <w:b/>
          <w:sz w:val="28"/>
          <w:szCs w:val="28"/>
        </w:rPr>
        <w:tab/>
      </w:r>
      <w:r w:rsidR="009E001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Е.В. Путра </w:t>
      </w:r>
      <w:r w:rsidR="009E0013">
        <w:rPr>
          <w:b/>
          <w:sz w:val="28"/>
          <w:szCs w:val="28"/>
        </w:rPr>
        <w:t xml:space="preserve">  </w:t>
      </w:r>
    </w:p>
    <w:p w:rsidR="009E0013" w:rsidRDefault="009E0013" w:rsidP="009E001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4F6E" w:rsidRDefault="00414F6E" w:rsidP="009E0013">
      <w:pPr>
        <w:spacing w:line="276" w:lineRule="auto"/>
        <w:ind w:right="35"/>
        <w:rPr>
          <w:color w:val="000000"/>
        </w:rPr>
      </w:pPr>
    </w:p>
    <w:p w:rsidR="00734500" w:rsidRDefault="00734500" w:rsidP="009E0013">
      <w:pPr>
        <w:spacing w:line="276" w:lineRule="auto"/>
        <w:ind w:right="35"/>
        <w:rPr>
          <w:color w:val="000000"/>
        </w:rPr>
      </w:pPr>
    </w:p>
    <w:p w:rsidR="00734500" w:rsidRDefault="00734500" w:rsidP="009E0013">
      <w:pPr>
        <w:spacing w:line="276" w:lineRule="auto"/>
        <w:ind w:right="35"/>
        <w:rPr>
          <w:color w:val="000000"/>
        </w:rPr>
      </w:pPr>
    </w:p>
    <w:p w:rsidR="00734500" w:rsidRDefault="00734500" w:rsidP="009E0013">
      <w:pPr>
        <w:spacing w:line="276" w:lineRule="auto"/>
        <w:ind w:right="35"/>
        <w:rPr>
          <w:color w:val="000000"/>
        </w:rPr>
      </w:pPr>
      <w:bookmarkStart w:id="0" w:name="_GoBack"/>
      <w:bookmarkEnd w:id="0"/>
    </w:p>
    <w:p w:rsidR="00D61003" w:rsidRDefault="00D61003" w:rsidP="009E0013">
      <w:pPr>
        <w:spacing w:line="276" w:lineRule="auto"/>
        <w:ind w:right="35"/>
        <w:rPr>
          <w:color w:val="000000"/>
        </w:rPr>
      </w:pPr>
    </w:p>
    <w:p w:rsidR="00D61003" w:rsidRDefault="00D61003" w:rsidP="009E0013">
      <w:pPr>
        <w:spacing w:line="276" w:lineRule="auto"/>
        <w:ind w:right="35"/>
        <w:rPr>
          <w:color w:val="000000"/>
        </w:rPr>
      </w:pPr>
    </w:p>
    <w:p w:rsidR="00414F6E" w:rsidRDefault="00414F6E" w:rsidP="009E0013">
      <w:pPr>
        <w:spacing w:line="276" w:lineRule="auto"/>
        <w:ind w:right="35"/>
        <w:rPr>
          <w:color w:val="000000"/>
        </w:rPr>
      </w:pPr>
    </w:p>
    <w:p w:rsidR="009E0013" w:rsidRDefault="009E0013" w:rsidP="009E0013">
      <w:pPr>
        <w:spacing w:line="276" w:lineRule="auto"/>
        <w:ind w:right="35"/>
        <w:rPr>
          <w:color w:val="000000"/>
        </w:rPr>
      </w:pPr>
      <w:r>
        <w:rPr>
          <w:color w:val="000000"/>
        </w:rPr>
        <w:t>Казанцева Людмила Сергеевна,</w:t>
      </w:r>
    </w:p>
    <w:p w:rsidR="00E658D6" w:rsidRDefault="009E0013" w:rsidP="00A915FE">
      <w:pPr>
        <w:spacing w:line="276" w:lineRule="auto"/>
        <w:ind w:right="35"/>
      </w:pPr>
      <w:r>
        <w:rPr>
          <w:color w:val="000000"/>
        </w:rPr>
        <w:t>тел. (3452) 685 281</w:t>
      </w:r>
    </w:p>
    <w:sectPr w:rsidR="00E658D6" w:rsidSect="003F57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D16FE"/>
    <w:multiLevelType w:val="hybridMultilevel"/>
    <w:tmpl w:val="463E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76099"/>
    <w:multiLevelType w:val="hybridMultilevel"/>
    <w:tmpl w:val="5A445F1C"/>
    <w:lvl w:ilvl="0" w:tplc="79CE6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13"/>
    <w:rsid w:val="0007195D"/>
    <w:rsid w:val="00077F2C"/>
    <w:rsid w:val="000C4DD2"/>
    <w:rsid w:val="000D30AC"/>
    <w:rsid w:val="001015F0"/>
    <w:rsid w:val="00114FE8"/>
    <w:rsid w:val="00135107"/>
    <w:rsid w:val="001B085A"/>
    <w:rsid w:val="001E0F85"/>
    <w:rsid w:val="001E7D7F"/>
    <w:rsid w:val="002C35D9"/>
    <w:rsid w:val="002C741B"/>
    <w:rsid w:val="00360F7B"/>
    <w:rsid w:val="003A091C"/>
    <w:rsid w:val="003F57C3"/>
    <w:rsid w:val="003F6535"/>
    <w:rsid w:val="00412282"/>
    <w:rsid w:val="00414F6E"/>
    <w:rsid w:val="00655EFB"/>
    <w:rsid w:val="00734500"/>
    <w:rsid w:val="007C565F"/>
    <w:rsid w:val="007D366A"/>
    <w:rsid w:val="00877595"/>
    <w:rsid w:val="00882D18"/>
    <w:rsid w:val="00922650"/>
    <w:rsid w:val="00924D26"/>
    <w:rsid w:val="009A78A0"/>
    <w:rsid w:val="009E0013"/>
    <w:rsid w:val="009F2483"/>
    <w:rsid w:val="00A03B8C"/>
    <w:rsid w:val="00A85BA4"/>
    <w:rsid w:val="00A915FE"/>
    <w:rsid w:val="00AC22BF"/>
    <w:rsid w:val="00AF10F2"/>
    <w:rsid w:val="00B06E4E"/>
    <w:rsid w:val="00B27273"/>
    <w:rsid w:val="00BA3171"/>
    <w:rsid w:val="00BE6AB8"/>
    <w:rsid w:val="00C02347"/>
    <w:rsid w:val="00C51EE1"/>
    <w:rsid w:val="00C70534"/>
    <w:rsid w:val="00CE5105"/>
    <w:rsid w:val="00D21907"/>
    <w:rsid w:val="00D43A65"/>
    <w:rsid w:val="00D61003"/>
    <w:rsid w:val="00E658D6"/>
    <w:rsid w:val="00EB6AB1"/>
    <w:rsid w:val="00EE0DA9"/>
    <w:rsid w:val="00F91AA3"/>
    <w:rsid w:val="00F97B49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C08E"/>
  <w15:chartTrackingRefBased/>
  <w15:docId w15:val="{29E72118-8139-4D8E-9BD5-0D86CCC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01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E0013"/>
    <w:rPr>
      <w:color w:val="0563C1"/>
      <w:u w:val="single" w:color="000000"/>
    </w:rPr>
  </w:style>
  <w:style w:type="paragraph" w:customStyle="1" w:styleId="Heading">
    <w:name w:val="Heading"/>
    <w:basedOn w:val="a"/>
    <w:next w:val="a"/>
    <w:rsid w:val="009E0013"/>
    <w:pPr>
      <w:suppressAutoHyphens w:val="0"/>
      <w:spacing w:before="240" w:after="60"/>
      <w:jc w:val="center"/>
      <w:outlineLvl w:val="0"/>
    </w:pPr>
    <w:rPr>
      <w:rFonts w:ascii="Cambria" w:eastAsia="Cambria" w:hAnsi="Cambria" w:cs="Cambria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i7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PC_205_LobkovaLA</dc:creator>
  <cp:keywords/>
  <dc:description/>
  <cp:lastModifiedBy>PC_205_LobkovaLA</cp:lastModifiedBy>
  <cp:revision>27</cp:revision>
  <dcterms:created xsi:type="dcterms:W3CDTF">2026-02-24T05:58:00Z</dcterms:created>
  <dcterms:modified xsi:type="dcterms:W3CDTF">2026-03-03T02:38:00Z</dcterms:modified>
</cp:coreProperties>
</file>