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wmf" ContentType="image/x-wmf"/>
  <Override PartName="/word/media/image2.wmf" ContentType="image/x-wmf"/>
  <Override PartName="/word/media/image3.wmf" ContentType="image/x-wmf"/>
  <Override PartName="/word/media/image4.wmf" ContentType="image/x-wmf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ind w:left="-142" w:hanging="0"/>
        <w:jc w:val="center"/>
        <w:rPr>
          <w:b/>
          <w:b/>
        </w:rPr>
      </w:pPr>
      <w:r>
        <w:rPr>
          <w:b/>
        </w:rPr>
        <w:t>ОБОСНОВАНИЕ</w:t>
      </w:r>
    </w:p>
    <w:p>
      <w:pPr>
        <w:pStyle w:val="Normal"/>
        <w:widowControl w:val="false"/>
        <w:ind w:left="-142" w:hanging="0"/>
        <w:jc w:val="center"/>
        <w:rPr>
          <w:b/>
          <w:b/>
        </w:rPr>
      </w:pPr>
      <w:r>
        <w:rPr>
          <w:b/>
        </w:rPr>
        <w:t>начальной (максимальной) цены договора</w:t>
      </w:r>
    </w:p>
    <w:p>
      <w:pPr>
        <w:pStyle w:val="Normal"/>
        <w:widowControl w:val="false"/>
        <w:ind w:left="-142" w:hanging="0"/>
        <w:jc w:val="center"/>
        <w:rPr>
          <w:b/>
          <w:b/>
        </w:rPr>
      </w:pPr>
      <w:r>
        <w:rPr>
          <w:b/>
        </w:rPr>
      </w:r>
    </w:p>
    <w:p>
      <w:pPr>
        <w:pStyle w:val="Normal"/>
        <w:ind w:firstLine="851"/>
        <w:jc w:val="both"/>
        <w:rPr/>
      </w:pPr>
      <w:r>
        <w:rPr/>
        <w:t>Используемый метод определения начальной (максимальной) цены договора: метод сопоставимых рыночных цен (анализ рынка).</w:t>
      </w:r>
    </w:p>
    <w:p>
      <w:pPr>
        <w:pStyle w:val="Normal"/>
        <w:ind w:firstLine="851"/>
        <w:jc w:val="both"/>
        <w:rPr/>
      </w:pPr>
      <w:r>
        <w:rPr/>
        <w:t>Обоснование выбранного метода обоснования начальной (максимальной) цены договора: метод сопоставимых рыночных цен (анализа рынка) является приоритетным для определения и обоснования начальной (максимальной) цены договора.</w:t>
      </w:r>
    </w:p>
    <w:p>
      <w:pPr>
        <w:pStyle w:val="Normal"/>
        <w:ind w:firstLine="851"/>
        <w:jc w:val="both"/>
        <w:rPr/>
      </w:pPr>
      <w:r>
        <w:rPr/>
        <w:t xml:space="preserve">Расчет НМЦК: </w:t>
      </w:r>
      <w:r>
        <w:rPr/>
        <w:drawing>
          <wp:inline distT="0" distB="0" distL="0" distR="0">
            <wp:extent cx="1630680" cy="396875"/>
            <wp:effectExtent l="0" t="0" r="0" b="0"/>
            <wp:docPr id="1" name="Рисунок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39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</w:t>
      </w:r>
    </w:p>
    <w:p>
      <w:pPr>
        <w:pStyle w:val="Normal"/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Заказчик для обоснования цены использовал коммерческие предложения.</w:t>
      </w:r>
    </w:p>
    <w:p>
      <w:pPr>
        <w:pStyle w:val="Normal"/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Предмет договора: </w:t>
      </w:r>
      <w:r>
        <w:rPr>
          <w:bCs/>
          <w:color w:val="000000"/>
          <w:shd w:fill="auto" w:val="clear"/>
        </w:rPr>
        <w:t>Оказание услуг по перевозке угля автомобильным транспортом</w:t>
      </w:r>
      <w:bookmarkStart w:id="0" w:name="_GoBack"/>
      <w:bookmarkEnd w:id="0"/>
      <w:r>
        <w:rPr>
          <w:bCs/>
          <w:color w:val="000000"/>
          <w:shd w:fill="auto" w:val="clear"/>
        </w:rPr>
        <w:t>.</w:t>
      </w:r>
    </w:p>
    <w:p>
      <w:pPr>
        <w:pStyle w:val="Normal"/>
        <w:ind w:firstLine="708"/>
        <w:jc w:val="both"/>
        <w:rPr>
          <w:bCs/>
          <w:color w:val="000000"/>
        </w:rPr>
      </w:pPr>
      <w:r>
        <w:rPr>
          <w:bCs/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Обоснование начальной максимальной цены договора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044"/>
        <w:gridCol w:w="1480"/>
        <w:gridCol w:w="1508"/>
        <w:gridCol w:w="2160"/>
        <w:gridCol w:w="2163"/>
      </w:tblGrid>
      <w:tr>
        <w:trPr/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Цена за за 1  тонна/километр, руб.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Среднее значение за тонну, руб.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НМЦД</w:t>
            </w:r>
          </w:p>
        </w:tc>
      </w:tr>
      <w:tr>
        <w:trPr/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Поставщик №1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7,00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7,24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4400000</w:t>
            </w:r>
          </w:p>
        </w:tc>
      </w:tr>
      <w:tr>
        <w:trPr>
          <w:trHeight w:val="135" w:hRule="atLeast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Поставщик №2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7,20</w:t>
            </w:r>
          </w:p>
        </w:tc>
        <w:tc>
          <w:tcPr>
            <w:tcW w:w="15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35" w:hRule="atLeast"/>
        </w:trPr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Поставщик №3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7,50</w:t>
            </w:r>
          </w:p>
        </w:tc>
        <w:tc>
          <w:tcPr>
            <w:tcW w:w="15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ind w:left="567" w:hanging="0"/>
        <w:jc w:val="center"/>
        <w:rPr>
          <w:bCs/>
        </w:rPr>
      </w:pPr>
      <w:r>
        <w:rPr>
          <w:bCs/>
        </w:rPr>
        <w:t>Коэффициент вариации цены (</w:t>
      </w:r>
      <w:r>
        <w:rPr>
          <w:bCs/>
          <w:lang w:val="en-US"/>
        </w:rPr>
        <w:t>V</w:t>
      </w:r>
      <w:r>
        <w:rPr>
          <w:bCs/>
        </w:rPr>
        <w:t xml:space="preserve">) определяется по формуле: </w:t>
      </w:r>
    </w:p>
    <w:p>
      <w:pPr>
        <w:pStyle w:val="Normal"/>
        <w:ind w:firstLine="540"/>
        <w:jc w:val="both"/>
        <w:rPr/>
      </w:pPr>
      <w:r>
        <w:rPr/>
        <w:drawing>
          <wp:inline distT="0" distB="0" distL="0" distR="0">
            <wp:extent cx="1449070" cy="509270"/>
            <wp:effectExtent l="0" t="0" r="0" b="0"/>
            <wp:docPr id="2" name="Рисунок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8"/>
        </w:rPr>
        <w:t xml:space="preserve">, где </w:t>
      </w:r>
    </w:p>
    <w:p>
      <w:pPr>
        <w:pStyle w:val="Normal"/>
        <w:ind w:firstLine="540"/>
        <w:jc w:val="both"/>
        <w:rPr/>
      </w:pPr>
      <w:r>
        <w:rPr/>
        <w:drawing>
          <wp:inline distT="0" distB="0" distL="0" distR="0">
            <wp:extent cx="1906270" cy="647065"/>
            <wp:effectExtent l="0" t="0" r="0" b="0"/>
            <wp:docPr id="3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- среднее квадратичное отклонение;</w:t>
      </w:r>
    </w:p>
    <w:p>
      <w:pPr>
        <w:pStyle w:val="Normal"/>
        <w:ind w:firstLine="540"/>
        <w:jc w:val="both"/>
        <w:rPr/>
      </w:pPr>
      <w:r>
        <w:rPr/>
        <w:drawing>
          <wp:inline distT="0" distB="0" distL="0" distR="0">
            <wp:extent cx="180975" cy="276225"/>
            <wp:effectExtent l="0" t="0" r="0" b="0"/>
            <wp:docPr id="4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- цена единицы товара, работы, услуги, указанная в источнике с номером i;</w:t>
      </w:r>
    </w:p>
    <w:p>
      <w:pPr>
        <w:pStyle w:val="Normal"/>
        <w:spacing w:before="240" w:after="0"/>
        <w:ind w:firstLine="540"/>
        <w:jc w:val="both"/>
        <w:rPr/>
      </w:pPr>
      <w:r>
        <w:rPr/>
        <w:t>&lt;ц&gt; - средняя арифметическая величина цены единицы товара, работы, услуги;</w:t>
      </w:r>
    </w:p>
    <w:p>
      <w:pPr>
        <w:pStyle w:val="Normal"/>
        <w:spacing w:before="240" w:after="0"/>
        <w:ind w:firstLine="540"/>
        <w:jc w:val="both"/>
        <w:rPr/>
      </w:pPr>
      <w:r>
        <w:rPr/>
        <w:t>n - количество значений, используемых в расчете.</w:t>
      </w:r>
    </w:p>
    <w:tbl>
      <w:tblPr>
        <w:tblW w:w="949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498"/>
      </w:tblGrid>
      <w:tr>
        <w:trPr>
          <w:trHeight w:val="1105" w:hRule="atLeast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jc w:val="center"/>
              <w:rPr>
                <w:color w:val="000000"/>
              </w:rPr>
            </w:pPr>
            <w:r>
              <w:rPr>
                <w:lang w:val="en-US"/>
              </w:rPr>
              <w:t>Q</w:t>
            </w:r>
            <w:r>
              <w:rPr/>
              <w:t xml:space="preserve"> = 50,00</w:t>
            </w:r>
          </w:p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jc w:val="center"/>
              <w:rPr>
                <w:color w:val="000000"/>
              </w:rPr>
            </w:pPr>
            <w:r>
              <w:rPr>
                <w:lang w:val="en-US"/>
              </w:rPr>
              <w:t>V</w:t>
            </w:r>
            <w:r>
              <w:rPr/>
              <w:t xml:space="preserve"> =</w:t>
            </w:r>
            <w:r>
              <w:rPr>
                <w:color w:val="000000"/>
              </w:rPr>
              <w:t xml:space="preserve"> 1,28 %</w:t>
            </w:r>
          </w:p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Коэффициент вариации составил 1,28 % &lt; 33%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Совокупность значений, используемых в расчете, при определении НМЦД считается неоднородной, если коэффициент вариации цены превышает 33%. Если коэффициент вариации превышает 33%, целесообразно провести дополнительные исследования в целях увеличения количества ценовой информации, используемой в расчетах.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Вывод: в данном случае коэффициент вариации цены меньше 33%, значит совокупность значений, используемых в расчете при определении НМЦД, считается однородной. Таким образом, коммерческие предложения Поставщиков по цене могут использоваться для расчета начальной (максимальной) цены договора.</w:t>
            </w:r>
          </w:p>
        </w:tc>
      </w:tr>
    </w:tbl>
    <w:p>
      <w:pPr>
        <w:pStyle w:val="Normal"/>
        <w:pBdr>
          <w:top w:val="single" w:sz="4" w:space="31" w:color="000000"/>
          <w:left w:val="single" w:sz="4" w:space="5" w:color="000000"/>
          <w:bottom w:val="single" w:sz="4" w:space="0" w:color="000000"/>
          <w:right w:val="single" w:sz="4" w:space="0" w:color="000000"/>
        </w:pBdr>
        <w:jc w:val="center"/>
        <w:rPr>
          <w:b/>
          <w:b/>
        </w:rPr>
      </w:pPr>
      <w:r>
        <w:rPr/>
        <w:t xml:space="preserve">Расчет НМЦД: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НМЦД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v</m:t>
            </m:r>
          </m:num>
          <m:den>
            <m:r>
              <w:rPr>
                <w:rFonts w:ascii="Cambria Math" w:hAnsi="Cambria Math"/>
              </w:rPr>
              <m:t xml:space="preserve">n</m:t>
            </m:r>
          </m:den>
        </m:f>
        <m:r>
          <w:rPr>
            <w:rFonts w:ascii="Cambria Math" w:hAnsi="Cambria Math"/>
          </w:rPr>
          <m:t xml:space="preserve">∗</m:t>
        </m:r>
        <m:nary>
          <m:naryPr>
            <m:chr m:val="∑"/>
          </m:naryPr>
          <m:sub>
            <m:r>
              <w:rPr>
                <w:rFonts w:ascii="Cambria Math" w:hAnsi="Cambria Math"/>
              </w:rPr>
              <m:t xml:space="preserve">i</m:t>
            </m:r>
            <m:r>
              <w:rPr>
                <w:rFonts w:ascii="Cambria Math" w:hAnsi="Cambria Math"/>
              </w:rPr>
              <m:t xml:space="preserve">=</m:t>
            </m:r>
            <m:r>
              <w:rPr>
                <w:rFonts w:ascii="Cambria Math" w:hAnsi="Cambria Math"/>
              </w:rPr>
              <m:t xml:space="preserve">1</m:t>
            </m:r>
          </m:sub>
          <m:sup>
            <m:r>
              <w:rPr>
                <w:rFonts w:ascii="Cambria Math" w:hAnsi="Cambria Math"/>
              </w:rPr>
              <m:t xml:space="preserve">n</m:t>
            </m:r>
          </m:sup>
          <m:e>
            <m:r>
              <w:rPr>
                <w:rFonts w:ascii="Cambria Math" w:hAnsi="Cambria Math"/>
              </w:rPr>
              <m:t xml:space="preserve">Ц</m:t>
            </m:r>
            <m:r>
              <w:rPr>
                <w:rFonts w:ascii="Cambria Math" w:hAnsi="Cambria Math"/>
              </w:rPr>
              <m:t xml:space="preserve">i</m:t>
            </m:r>
          </m:e>
        </m:nary>
      </m:oMath>
      <w:r>
        <w:rPr/>
        <w:t xml:space="preserve">, </w:t>
      </w:r>
      <w:r>
        <w:rPr>
          <w:b/>
        </w:rPr>
        <w:t>НМЦД=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81c3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e81c31"/>
    <w:rPr>
      <w:rFonts w:ascii="Tahoma" w:hAnsi="Tahoma" w:eastAsia="Times New Roman" w:cs="Tahoma"/>
      <w:sz w:val="16"/>
      <w:szCs w:val="16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81c31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4a02de"/>
    <w:pPr>
      <w:spacing w:lineRule="auto" w:line="276" w:before="0" w:after="20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image" Target="media/image4.wmf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Application>LibreOffice/7.3.7.2$Linux_X86_64 LibreOffice_project/30$Build-2</Application>
  <AppVersion>15.0000</AppVersion>
  <Pages>1</Pages>
  <Words>221</Words>
  <Characters>1507</Characters>
  <CharactersWithSpaces>1700</CharactersWithSpaces>
  <Paragraphs>33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2024-08-01T07:56:00Z</dcterms:created>
  <dc:creator>Бобрышева</dc:creator>
  <dc:description/>
  <dc:language>ru-RU</dc:language>
  <cp:lastModifiedBy/>
  <cp:lastPrinted>2025-10-07T11:12:00Z</cp:lastPrinted>
  <dcterms:modified xsi:type="dcterms:W3CDTF">2026-01-28T08:07:12Z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