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3"/>
        </w:tabs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ТЕХНИЧЕСКОЕ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на поставку дизельного топлива по топливным картам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1. Технические характеристики товаров</w:t>
      </w:r>
      <w:r w:rsidDel="00000000" w:rsidR="00000000" w:rsidRPr="00000000">
        <w:rPr>
          <w:rtl w:val="0"/>
        </w:rPr>
      </w:r>
    </w:p>
    <w:tbl>
      <w:tblPr>
        <w:tblStyle w:val="Table1"/>
        <w:tblW w:w="9942.0" w:type="dxa"/>
        <w:jc w:val="left"/>
        <w:tblInd w:w="-108.0" w:type="dxa"/>
        <w:tblLayout w:type="fixed"/>
        <w:tblLook w:val="0000"/>
      </w:tblPr>
      <w:tblGrid>
        <w:gridCol w:w="559"/>
        <w:gridCol w:w="1868"/>
        <w:gridCol w:w="5956"/>
        <w:gridCol w:w="709"/>
        <w:gridCol w:w="850"/>
        <w:tblGridChange w:id="0">
          <w:tblGrid>
            <w:gridCol w:w="559"/>
            <w:gridCol w:w="1868"/>
            <w:gridCol w:w="5956"/>
            <w:gridCol w:w="709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№</w:t>
              <w:br w:type="textWrapping"/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Наименование 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Требования к качеству закупаемой продукции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Ед.</w:t>
              <w:br w:type="textWrapping"/>
              <w:t xml:space="preserve">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Дизельное топливо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19.20.21.345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Соответствие качества поставляемого Товара ГОСТ 32511-2013 «Топливо дизельное ЕВРО. Технические условия (с Поправкой, с Изменением №1)» или ГОСТ Р 52368-2005 «Топливо дизельное ЕВРО. Технические условия (с Поправкой, с Изменением №1)».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Экологический класс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не хуже К5.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Сезонность: летнее/зимнее/межсезонное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 зависимости от времени года (сезона), в которое приобретается топливо.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Дизельное топливо зимнее: класс не ниже 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Дизельное топливо межсезонное: сорт не ниже F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Дизельное топливо летнее: сорт не ниже 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литр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57930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2. Требования к качественным характеристикам товаров: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3. Условия поставки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Поставка топлива осуществляется ежедневно и круглосуточно.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Срок поставки: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с даты заключения договора по 31.12.2026 года.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Место поставки: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поставка товара осуществляется через АЗС, не менее 1 шт. расположены на территории п. Чертково и/или Чертковского района Ростовской области в радиусе не далее, чем 11 км от Заказчика, находящегося по адресу: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346001, Россия, Ро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стовская область, Чертковский район, п. Чертково, пер. Веселый, д.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23B4F68580654C108585C4C53E8A002B_13</vt:lpwstr>
  </property>
</Properties>
</file>