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2F1D" w14:textId="77777777" w:rsidR="003E06B6" w:rsidRPr="00501B50" w:rsidRDefault="003E06B6" w:rsidP="003E06B6">
      <w:pPr>
        <w:pStyle w:val="a3"/>
        <w:spacing w:before="0" w:beforeAutospacing="0" w:after="0" w:afterAutospacing="0"/>
        <w:jc w:val="right"/>
      </w:pPr>
      <w:r w:rsidRPr="00501B50">
        <w:t>РАЗДЕЛ 3.</w:t>
      </w:r>
      <w:bookmarkStart w:id="0" w:name="_Toc179617113"/>
      <w:bookmarkStart w:id="1" w:name="_Ref167094951"/>
      <w:r w:rsidRPr="00501B50">
        <w:t>ТЕХНИЧЕСК</w:t>
      </w:r>
      <w:bookmarkEnd w:id="0"/>
      <w:bookmarkEnd w:id="1"/>
      <w:r w:rsidRPr="00501B50">
        <w:t>ОЕ ЗАДАНИЕ</w:t>
      </w:r>
    </w:p>
    <w:p w14:paraId="40BB375D" w14:textId="77777777" w:rsidR="003E06B6" w:rsidRPr="00501B50" w:rsidRDefault="003E06B6" w:rsidP="003E06B6">
      <w:pPr>
        <w:suppressAutoHyphens/>
        <w:spacing w:line="240" w:lineRule="auto"/>
        <w:ind w:firstLine="0"/>
        <w:jc w:val="center"/>
        <w:rPr>
          <w:rFonts w:eastAsia="Times New Roman"/>
          <w:snapToGrid/>
          <w:sz w:val="24"/>
          <w:szCs w:val="24"/>
        </w:rPr>
      </w:pPr>
    </w:p>
    <w:p w14:paraId="6947BDBB" w14:textId="77777777" w:rsidR="003E06B6" w:rsidRPr="00501B50" w:rsidRDefault="003E06B6" w:rsidP="003E06B6">
      <w:pPr>
        <w:suppressAutoHyphens/>
        <w:spacing w:line="240" w:lineRule="auto"/>
        <w:ind w:firstLine="0"/>
        <w:jc w:val="center"/>
        <w:rPr>
          <w:rFonts w:eastAsia="Times New Roman"/>
          <w:snapToGrid/>
          <w:sz w:val="24"/>
          <w:szCs w:val="24"/>
        </w:rPr>
      </w:pPr>
    </w:p>
    <w:p w14:paraId="00468BB3" w14:textId="77777777" w:rsidR="003E06B6" w:rsidRDefault="003E06B6" w:rsidP="003E06B6">
      <w:pPr>
        <w:suppressAutoHyphens/>
        <w:spacing w:line="240" w:lineRule="auto"/>
        <w:ind w:firstLine="0"/>
        <w:jc w:val="center"/>
        <w:rPr>
          <w:rFonts w:eastAsia="Times New Roman"/>
          <w:snapToGrid/>
          <w:sz w:val="24"/>
          <w:szCs w:val="24"/>
        </w:rPr>
      </w:pPr>
      <w:r w:rsidRPr="00501B50">
        <w:rPr>
          <w:rFonts w:eastAsia="Times New Roman"/>
          <w:snapToGrid/>
          <w:sz w:val="24"/>
          <w:szCs w:val="24"/>
        </w:rPr>
        <w:t>ТЕХНИЧЕСКОЕ ЗАДАНИЕ</w:t>
      </w:r>
    </w:p>
    <w:p w14:paraId="19B80C7F" w14:textId="77777777" w:rsidR="00DE11E2" w:rsidRPr="00501B50" w:rsidRDefault="00DE11E2" w:rsidP="003E06B6">
      <w:pPr>
        <w:suppressAutoHyphens/>
        <w:spacing w:line="240" w:lineRule="auto"/>
        <w:ind w:firstLine="0"/>
        <w:jc w:val="center"/>
        <w:rPr>
          <w:rFonts w:eastAsia="Times New Roman"/>
          <w:snapToGrid/>
          <w:sz w:val="24"/>
          <w:szCs w:val="24"/>
        </w:rPr>
      </w:pPr>
    </w:p>
    <w:tbl>
      <w:tblPr>
        <w:tblW w:w="104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275"/>
        <w:gridCol w:w="5419"/>
        <w:gridCol w:w="675"/>
        <w:gridCol w:w="960"/>
      </w:tblGrid>
      <w:tr w:rsidR="00DE11E2" w:rsidRPr="00DE11E2" w14:paraId="2E50EA57" w14:textId="77777777" w:rsidTr="00DE11E2">
        <w:trPr>
          <w:jc w:val="center"/>
        </w:trPr>
        <w:tc>
          <w:tcPr>
            <w:tcW w:w="562" w:type="dxa"/>
            <w:tcBorders>
              <w:right w:val="single" w:sz="6" w:space="0" w:color="000000"/>
            </w:tcBorders>
            <w:vAlign w:val="center"/>
          </w:tcPr>
          <w:p w14:paraId="65620A52" w14:textId="77777777" w:rsidR="00DE11E2" w:rsidRPr="00DE11E2" w:rsidRDefault="00DE11E2" w:rsidP="00DE11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color w:val="000000"/>
                <w:sz w:val="20"/>
                <w:lang w:val="ru"/>
              </w:rPr>
            </w:pPr>
            <w:r w:rsidRPr="00DE11E2">
              <w:rPr>
                <w:rFonts w:eastAsia="Times New Roman"/>
                <w:bCs/>
                <w:snapToGrid/>
                <w:color w:val="000000"/>
                <w:sz w:val="20"/>
                <w:lang w:val="ru"/>
              </w:rPr>
              <w:t>№ п/п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2C686" w14:textId="77777777" w:rsidR="00DE11E2" w:rsidRPr="00DE11E2" w:rsidRDefault="00DE11E2" w:rsidP="00DE11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color w:val="000000"/>
                <w:sz w:val="20"/>
                <w:lang w:val="ru"/>
              </w:rPr>
            </w:pPr>
            <w:r w:rsidRPr="00DE11E2">
              <w:rPr>
                <w:rFonts w:eastAsia="Times New Roman"/>
                <w:bCs/>
                <w:snapToGrid/>
                <w:color w:val="000000"/>
                <w:sz w:val="20"/>
                <w:lang w:val="ru"/>
              </w:rPr>
              <w:t>Наименование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7019C" w14:textId="77777777" w:rsidR="00DE11E2" w:rsidRPr="00DE11E2" w:rsidRDefault="00DE11E2" w:rsidP="00DE11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color w:val="000000"/>
                <w:sz w:val="20"/>
                <w:lang w:val="ru"/>
              </w:rPr>
            </w:pPr>
            <w:r w:rsidRPr="00DE11E2">
              <w:rPr>
                <w:rFonts w:eastAsia="Times New Roman"/>
                <w:bCs/>
                <w:snapToGrid/>
                <w:color w:val="000000"/>
                <w:sz w:val="20"/>
                <w:lang w:val="ru"/>
              </w:rPr>
              <w:t>ОКПД 2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58C1F" w14:textId="77777777" w:rsidR="00DE11E2" w:rsidRPr="00DE11E2" w:rsidRDefault="00DE11E2" w:rsidP="00DE11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color w:val="000000"/>
                <w:sz w:val="20"/>
                <w:lang w:val="ru"/>
              </w:rPr>
            </w:pPr>
            <w:r w:rsidRPr="00DE11E2">
              <w:rPr>
                <w:rFonts w:eastAsia="Times New Roman"/>
                <w:bCs/>
                <w:snapToGrid/>
                <w:color w:val="000000"/>
                <w:sz w:val="20"/>
                <w:lang w:val="ru"/>
              </w:rPr>
              <w:t>Характеристики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D61EC" w14:textId="77777777" w:rsidR="00DE11E2" w:rsidRPr="00DE11E2" w:rsidRDefault="00DE11E2" w:rsidP="00DE11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color w:val="000000"/>
                <w:sz w:val="20"/>
                <w:lang w:val="ru"/>
              </w:rPr>
            </w:pPr>
            <w:r w:rsidRPr="00DE11E2">
              <w:rPr>
                <w:rFonts w:eastAsia="Times New Roman"/>
                <w:bCs/>
                <w:snapToGrid/>
                <w:color w:val="000000"/>
                <w:sz w:val="20"/>
                <w:lang w:val="ru"/>
              </w:rPr>
              <w:t>Ед. изм.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25A5A" w14:textId="77777777" w:rsidR="00DE11E2" w:rsidRPr="00DE11E2" w:rsidRDefault="00DE11E2" w:rsidP="00DE11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color w:val="000000"/>
                <w:sz w:val="20"/>
                <w:lang w:val="ru"/>
              </w:rPr>
            </w:pPr>
            <w:r w:rsidRPr="00DE11E2">
              <w:rPr>
                <w:rFonts w:eastAsia="Times New Roman"/>
                <w:bCs/>
                <w:snapToGrid/>
                <w:color w:val="000000"/>
                <w:sz w:val="20"/>
                <w:lang w:val="ru"/>
              </w:rPr>
              <w:t>Кол-во</w:t>
            </w:r>
          </w:p>
        </w:tc>
      </w:tr>
      <w:tr w:rsidR="00DE11E2" w:rsidRPr="00DE11E2" w14:paraId="6BBD3D93" w14:textId="77777777" w:rsidTr="00DE11E2">
        <w:trPr>
          <w:trHeight w:val="64"/>
          <w:jc w:val="center"/>
        </w:trPr>
        <w:tc>
          <w:tcPr>
            <w:tcW w:w="562" w:type="dxa"/>
            <w:tcBorders>
              <w:right w:val="single" w:sz="6" w:space="0" w:color="000000"/>
            </w:tcBorders>
            <w:vAlign w:val="center"/>
          </w:tcPr>
          <w:p w14:paraId="713AD58F" w14:textId="77777777" w:rsidR="00DE11E2" w:rsidRPr="00DE11E2" w:rsidRDefault="00DE11E2" w:rsidP="00DE11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color w:val="000000"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1FB380" w14:textId="77777777" w:rsidR="00DE11E2" w:rsidRPr="00DE11E2" w:rsidRDefault="00DE11E2" w:rsidP="00DE11E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Горбуша</w:t>
            </w:r>
          </w:p>
        </w:tc>
        <w:tc>
          <w:tcPr>
            <w:tcW w:w="1275" w:type="dxa"/>
            <w:vAlign w:val="center"/>
          </w:tcPr>
          <w:p w14:paraId="50362CB6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10.20.13.122</w:t>
            </w:r>
          </w:p>
        </w:tc>
        <w:tc>
          <w:tcPr>
            <w:tcW w:w="5419" w:type="dxa"/>
            <w:vAlign w:val="center"/>
          </w:tcPr>
          <w:p w14:paraId="495E1BA8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Рыба свежемороженая без головы, потрошенная (I сорт)</w:t>
            </w:r>
          </w:p>
          <w:p w14:paraId="3A57D832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Размерный ряд: 25+</w:t>
            </w:r>
          </w:p>
          <w:p w14:paraId="570DB9AC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Внешний вид: рыба целая, плотная, упитанная, поверхность чистая, ровная, без наружных повреждений, без посторонних примесей, чешуя легко отделяется</w:t>
            </w:r>
          </w:p>
          <w:p w14:paraId="4498EE93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Запах после размораживания: свойственный свежей рыбе, без посторонних запахов</w:t>
            </w:r>
          </w:p>
          <w:p w14:paraId="3A05573E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Температура хранения: минус 18 °С</w:t>
            </w:r>
          </w:p>
          <w:p w14:paraId="79F0B731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Остаточный срок годности на момент поставки: не менее 80 %.</w:t>
            </w:r>
          </w:p>
          <w:p w14:paraId="22B0D28E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Упаковка: рыба в потребительской упаковке, уложенная в ящики из гофрированного картона.</w:t>
            </w:r>
          </w:p>
          <w:p w14:paraId="748A5FE2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Рыба соответствует ГОСТ 32366-2013 требованиям Технического регламента Таможенного Союза "О безопасности пищевой продукции"(ТР ТС 021/2011), требованиям Технического регламента Евразийского экономического союза «О безопасности рыбы и рыбной продукции» (ТР ЕАЭС 040/2016). На упаковке (таре) обязательное наличие маркировки, информации для потребителя: дата изготовления, срок годности, производитель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8D5A2F" w14:textId="77777777" w:rsidR="00DE11E2" w:rsidRPr="00DE11E2" w:rsidRDefault="00DE11E2" w:rsidP="00DE11E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кг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9AB4A" w14:textId="77777777" w:rsidR="00DE11E2" w:rsidRPr="00DE11E2" w:rsidRDefault="00DE11E2" w:rsidP="00DE11E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510,48</w:t>
            </w:r>
          </w:p>
        </w:tc>
      </w:tr>
      <w:tr w:rsidR="00DE11E2" w:rsidRPr="00DE11E2" w14:paraId="2D4248D0" w14:textId="77777777" w:rsidTr="00DE11E2">
        <w:trPr>
          <w:trHeight w:val="64"/>
          <w:jc w:val="center"/>
        </w:trPr>
        <w:tc>
          <w:tcPr>
            <w:tcW w:w="562" w:type="dxa"/>
            <w:tcBorders>
              <w:right w:val="single" w:sz="6" w:space="0" w:color="000000"/>
            </w:tcBorders>
            <w:vAlign w:val="center"/>
          </w:tcPr>
          <w:p w14:paraId="55F02ECE" w14:textId="77777777" w:rsidR="00DE11E2" w:rsidRPr="00DE11E2" w:rsidRDefault="00DE11E2" w:rsidP="00DE11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407F28" w14:textId="77777777" w:rsidR="00DE11E2" w:rsidRPr="00DE11E2" w:rsidRDefault="00DE11E2" w:rsidP="00DE11E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Минтай</w:t>
            </w:r>
          </w:p>
        </w:tc>
        <w:tc>
          <w:tcPr>
            <w:tcW w:w="1275" w:type="dxa"/>
            <w:vAlign w:val="center"/>
          </w:tcPr>
          <w:p w14:paraId="175B1812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10.20.13.122</w:t>
            </w:r>
          </w:p>
        </w:tc>
        <w:tc>
          <w:tcPr>
            <w:tcW w:w="5419" w:type="dxa"/>
            <w:vAlign w:val="center"/>
          </w:tcPr>
          <w:p w14:paraId="1CB72BCE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Соответствует требованиям ГОСТ 32366-2013 «Рыба мороженая. Технические условия».</w:t>
            </w:r>
          </w:p>
          <w:p w14:paraId="3A183954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Термическое состояние: свежемороженый</w:t>
            </w:r>
          </w:p>
          <w:p w14:paraId="4E5C2DE5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Потрошеный: соответствие</w:t>
            </w:r>
          </w:p>
          <w:p w14:paraId="415996FD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Без головы: соответствие</w:t>
            </w:r>
          </w:p>
          <w:p w14:paraId="250237DC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Сорт: не ниже 1</w:t>
            </w:r>
          </w:p>
          <w:p w14:paraId="6125C57E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Cs/>
                <w:snapToGrid/>
                <w:sz w:val="20"/>
                <w:lang w:val="ru"/>
              </w:rPr>
              <w:t>Размерный ряд:</w:t>
            </w: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 xml:space="preserve"> не менее 30</w:t>
            </w:r>
          </w:p>
          <w:p w14:paraId="0116530F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Поверхность рыбы: чистая, рыба без наружных повреждений.</w:t>
            </w:r>
          </w:p>
          <w:p w14:paraId="507D2996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Консистенция: Плотная или мягкая, свойственная данному виду рыбы</w:t>
            </w:r>
          </w:p>
          <w:p w14:paraId="6CB12FBD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 xml:space="preserve">Глазурь: в виде ледяной корочки, равномерно покрывающей поверхность </w:t>
            </w:r>
            <w:proofErr w:type="gramStart"/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рыбы</w:t>
            </w:r>
            <w:proofErr w:type="gramEnd"/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 xml:space="preserve"> и не должна отставать при легком постукивании</w:t>
            </w:r>
          </w:p>
          <w:p w14:paraId="64815F91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Масса глазури: не менее 4%, не более 5% от массы нетто.</w:t>
            </w:r>
          </w:p>
          <w:p w14:paraId="523C2BE5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У рыбы должны быть удалены внутренности, икра или молоки; сгустки крови – соответствие</w:t>
            </w:r>
          </w:p>
          <w:p w14:paraId="696CD172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Внешний вид (после размораживания): поверхность чистая, естественной окраски, присущей рыбе данного вида. Консистенция (после размораживания): присущая рыбе данного вида</w:t>
            </w:r>
          </w:p>
          <w:p w14:paraId="0EABF9C7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Запах (после размораживания): свойственный свежей рыбе, без посторонних признаков</w:t>
            </w:r>
          </w:p>
          <w:p w14:paraId="769A0854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В рыбе не должно быть гельминтов и их личинок – соответствие</w:t>
            </w:r>
          </w:p>
          <w:p w14:paraId="0E3E71D5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В каждой упаковочной единице должна быть рыба одного наименования, сорта, вида разделки, одной размерной группы и одного вида – соответствие</w:t>
            </w:r>
          </w:p>
          <w:p w14:paraId="0CA1C0D7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Упаковка: предназначенная и соответствующая стандартам для данной продукции</w:t>
            </w:r>
          </w:p>
          <w:p w14:paraId="346F9E05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color w:val="000000"/>
                <w:sz w:val="20"/>
                <w:lang w:val="ru"/>
              </w:rPr>
              <w:t xml:space="preserve">Остаточный срок годности: не менее </w:t>
            </w: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8</w:t>
            </w:r>
            <w:r w:rsidRPr="00DE11E2">
              <w:rPr>
                <w:rFonts w:eastAsia="Times New Roman"/>
                <w:b w:val="0"/>
                <w:snapToGrid/>
                <w:color w:val="000000"/>
                <w:sz w:val="20"/>
                <w:lang w:val="ru"/>
              </w:rPr>
              <w:t>0% от установленного производителем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0DFC36" w14:textId="77777777" w:rsidR="00DE11E2" w:rsidRPr="00DE11E2" w:rsidRDefault="00DE11E2" w:rsidP="00DE11E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кг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167A6" w14:textId="77777777" w:rsidR="00DE11E2" w:rsidRPr="00DE11E2" w:rsidRDefault="00DE11E2" w:rsidP="00DE11E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940,30</w:t>
            </w:r>
          </w:p>
        </w:tc>
      </w:tr>
      <w:tr w:rsidR="00DE11E2" w:rsidRPr="00DE11E2" w14:paraId="0F22ECF7" w14:textId="77777777" w:rsidTr="00DE11E2">
        <w:trPr>
          <w:trHeight w:val="64"/>
          <w:jc w:val="center"/>
        </w:trPr>
        <w:tc>
          <w:tcPr>
            <w:tcW w:w="562" w:type="dxa"/>
            <w:tcBorders>
              <w:right w:val="single" w:sz="6" w:space="0" w:color="000000"/>
            </w:tcBorders>
            <w:vAlign w:val="center"/>
          </w:tcPr>
          <w:p w14:paraId="62F0108D" w14:textId="77777777" w:rsidR="00DE11E2" w:rsidRPr="00DE11E2" w:rsidRDefault="00DE11E2" w:rsidP="00DE11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B7EBE2" w14:textId="77777777" w:rsidR="00DE11E2" w:rsidRPr="00DE11E2" w:rsidRDefault="00DE11E2" w:rsidP="00DE11E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Кета</w:t>
            </w:r>
          </w:p>
        </w:tc>
        <w:tc>
          <w:tcPr>
            <w:tcW w:w="1275" w:type="dxa"/>
            <w:vAlign w:val="center"/>
          </w:tcPr>
          <w:p w14:paraId="60E0FDD7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10.20.13.122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6F88C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 xml:space="preserve">Рыба свежемороженая без головы, потрошенная (I сорт). Внешний вид: рыба целая, плотная, упитанная, поверхность чистая, ровная, без наружных повреждений, без посторонних примесей, чешуя легко отделяется. Запах после размораживания: свойственный свежей рыбе, без посторонних запахов.                           </w:t>
            </w:r>
          </w:p>
          <w:p w14:paraId="1929EBBA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 xml:space="preserve">Температура хранения: минус 18 °С.                           </w:t>
            </w:r>
          </w:p>
          <w:p w14:paraId="78450261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lastRenderedPageBreak/>
              <w:t xml:space="preserve">Срок годности на момент поставки: не менее 4 месяцев от даты выработки.                                                       </w:t>
            </w:r>
          </w:p>
          <w:p w14:paraId="0A792BD7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 xml:space="preserve">Упаковка: рыба в потребительской упаковке, уложенная в ящики из гофрированного картона.                            </w:t>
            </w:r>
          </w:p>
          <w:p w14:paraId="6593A075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 xml:space="preserve">Рыба соответствует ГОСТ 32366-2013, ТУ 9261-006-26191641-01, требованиям Технического регламента Таможенного Союза "О безопасности пищевой продукции"(ТР ТС 021/2011), требованиям Технического регламента Евразийского экономического союза «О безопасности рыбы и рыбной продукции» (ТР ЕАЭС 040/2016).                                                                 </w:t>
            </w:r>
          </w:p>
          <w:p w14:paraId="6B7FA209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 xml:space="preserve"> На упаковке (таре) обязательное наличие маркировки, информации для потребителя: дата изготовления, срок годности, производитель.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7824F0" w14:textId="77777777" w:rsidR="00DE11E2" w:rsidRPr="00DE11E2" w:rsidRDefault="00DE11E2" w:rsidP="00DE11E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lastRenderedPageBreak/>
              <w:t>кг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2DD3CC" w14:textId="77777777" w:rsidR="00DE11E2" w:rsidRPr="00DE11E2" w:rsidRDefault="00DE11E2" w:rsidP="00DE11E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397,80</w:t>
            </w:r>
          </w:p>
        </w:tc>
      </w:tr>
      <w:tr w:rsidR="00DE11E2" w:rsidRPr="00DE11E2" w14:paraId="7F8ED9F7" w14:textId="77777777" w:rsidTr="00DE11E2">
        <w:trPr>
          <w:trHeight w:val="64"/>
          <w:jc w:val="center"/>
        </w:trPr>
        <w:tc>
          <w:tcPr>
            <w:tcW w:w="562" w:type="dxa"/>
            <w:tcBorders>
              <w:right w:val="single" w:sz="6" w:space="0" w:color="000000"/>
            </w:tcBorders>
            <w:vAlign w:val="center"/>
          </w:tcPr>
          <w:p w14:paraId="49E96784" w14:textId="77777777" w:rsidR="00DE11E2" w:rsidRPr="00DE11E2" w:rsidRDefault="00DE11E2" w:rsidP="00DE11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351E1A" w14:textId="77777777" w:rsidR="00DE11E2" w:rsidRPr="00DE11E2" w:rsidRDefault="00DE11E2" w:rsidP="00DE11E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Сайра</w:t>
            </w:r>
          </w:p>
        </w:tc>
        <w:tc>
          <w:tcPr>
            <w:tcW w:w="1275" w:type="dxa"/>
            <w:vAlign w:val="center"/>
          </w:tcPr>
          <w:p w14:paraId="02D09B8C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highlight w:val="yellow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10.20.25.111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C0402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Банки без повреждений, по 0,25 без нарушений герметичности банок, без бомбажа, без ржавчины и не деформированные.</w:t>
            </w:r>
          </w:p>
          <w:p w14:paraId="54627268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Остаточный срок годности на момент поставки: не менее 80 %.</w:t>
            </w:r>
          </w:p>
          <w:p w14:paraId="5FCBDAAB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Упаковка: рыба в потребительской упаковке (банки железные)</w:t>
            </w:r>
          </w:p>
          <w:p w14:paraId="2A90B8A0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Рыба соответствует ГОСТ 7452-2014</w:t>
            </w:r>
          </w:p>
          <w:p w14:paraId="0D079830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На упаковке (таре и ярлыке) обязательное наличие маркировки, информации для потребителя: дата изготовления, срок годности, производитель.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66168B" w14:textId="77777777" w:rsidR="00DE11E2" w:rsidRPr="00DE11E2" w:rsidRDefault="00DE11E2" w:rsidP="00DE11E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highlight w:val="yellow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кг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7BB9AD" w14:textId="77777777" w:rsidR="00DE11E2" w:rsidRPr="00DE11E2" w:rsidRDefault="00DE11E2" w:rsidP="00DE11E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125,28</w:t>
            </w:r>
          </w:p>
        </w:tc>
      </w:tr>
    </w:tbl>
    <w:p w14:paraId="2D6A008F" w14:textId="77777777" w:rsidR="003E06B6" w:rsidRPr="00501B50" w:rsidRDefault="003E06B6" w:rsidP="003E06B6">
      <w:pPr>
        <w:suppressAutoHyphens/>
        <w:spacing w:line="240" w:lineRule="auto"/>
        <w:ind w:firstLine="0"/>
        <w:jc w:val="center"/>
        <w:rPr>
          <w:rFonts w:eastAsia="Times New Roman"/>
          <w:snapToGrid/>
          <w:sz w:val="24"/>
          <w:szCs w:val="24"/>
        </w:rPr>
      </w:pPr>
    </w:p>
    <w:p w14:paraId="3F78A5C8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Cs/>
          <w:snapToGrid/>
          <w:color w:val="000000"/>
          <w:sz w:val="22"/>
          <w:szCs w:val="22"/>
          <w:lang w:val="ru"/>
        </w:rPr>
        <w:t xml:space="preserve">Место поставки: </w:t>
      </w:r>
      <w:r w:rsidRPr="00DE11E2">
        <w:rPr>
          <w:rFonts w:eastAsia="Times New Roman"/>
          <w:b w:val="0"/>
          <w:snapToGrid/>
          <w:sz w:val="22"/>
          <w:szCs w:val="22"/>
          <w:lang w:val="ru"/>
        </w:rPr>
        <w:t>628624, Ханты - Мансийский автономный округ – Югра, г. Нижневартовск, ул. Интернациональная д.24в – корпус 1, д.24б – корпус 2, ул.  Пермская д.1а- 3 корпус.</w:t>
      </w:r>
    </w:p>
    <w:p w14:paraId="127CBD6E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Cs/>
          <w:snapToGrid/>
          <w:color w:val="000000"/>
          <w:sz w:val="22"/>
          <w:szCs w:val="22"/>
          <w:lang w:val="ru"/>
        </w:rPr>
        <w:t>Период поставки товара:</w:t>
      </w:r>
      <w:r w:rsidRPr="00DE11E2">
        <w:rPr>
          <w:rFonts w:eastAsia="Times New Roman"/>
          <w:b w:val="0"/>
          <w:snapToGrid/>
          <w:sz w:val="22"/>
          <w:szCs w:val="22"/>
          <w:lang w:val="ru"/>
        </w:rPr>
        <w:t xml:space="preserve"> с 01.01.2026 года до 31.03.2026 года</w:t>
      </w: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, согласно заяв</w:t>
      </w:r>
      <w:r w:rsidRPr="00DE11E2">
        <w:rPr>
          <w:rFonts w:eastAsia="Times New Roman"/>
          <w:b w:val="0"/>
          <w:snapToGrid/>
          <w:sz w:val="22"/>
          <w:szCs w:val="22"/>
          <w:lang w:val="ru"/>
        </w:rPr>
        <w:t>кам</w:t>
      </w: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 xml:space="preserve"> Заказчика.</w:t>
      </w:r>
    </w:p>
    <w:p w14:paraId="567BDB48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Поставка Товара оказывается транспортным средством Поставщика, согласно, поданной заявки Заказчика. Заявка Заказчика поступает Поставщику посредством телекоммуникационных каналов связи в устной форме (в телефонном режиме), по форме заявки, не позднее, чем за сутки до дня поставки.</w:t>
      </w:r>
    </w:p>
    <w:p w14:paraId="68984D71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Cs/>
          <w:snapToGrid/>
          <w:color w:val="000000"/>
          <w:sz w:val="22"/>
          <w:szCs w:val="22"/>
          <w:lang w:val="ru"/>
        </w:rPr>
        <w:t>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35DFE4A8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 xml:space="preserve">Качество и безопасность поставляемого товара должны соответствовать требованиям и нормам, установленным: </w:t>
      </w:r>
    </w:p>
    <w:p w14:paraId="6953DD7E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- Федеральным законом от 02.01.2000 № 29-ФЗ «О качестве и безопасности пищевых продуктов»;</w:t>
      </w:r>
    </w:p>
    <w:p w14:paraId="51650A28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- Федеральным закон от 30.03.1999 № 52-ФЗ «О санитарно-эпидемиологическом благополучии населения»;</w:t>
      </w:r>
    </w:p>
    <w:p w14:paraId="2C438323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- СанПиН 2.3.2.1324-03 «Гигиенические требования к срокам годности и условиям хранения пищевых продуктов»;</w:t>
      </w:r>
    </w:p>
    <w:p w14:paraId="350AB10E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- СанПиН 2.3.2.1078-01 «Гигиенические требования к безопасности и пищевой ценности пищевых продуктов»;</w:t>
      </w:r>
    </w:p>
    <w:p w14:paraId="763729AB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3D467F2E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5489DD81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- ТР ТС 021/2011 «О безопасности пищевой продукции»;</w:t>
      </w:r>
    </w:p>
    <w:p w14:paraId="480376E1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- ТР ТС 022/2011 «Пищевая продукция в части ее маркировки»;</w:t>
      </w:r>
    </w:p>
    <w:p w14:paraId="47F4677C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- ТР ТС 005/2011 «О безопасности упаковки»;</w:t>
      </w:r>
    </w:p>
    <w:p w14:paraId="0632E069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sz w:val="22"/>
          <w:szCs w:val="22"/>
          <w:lang w:val="ru"/>
        </w:rPr>
        <w:t>- ТР ЕАЭС 040/2016 «О безопасности рыбы и рыбной продукции»;</w:t>
      </w:r>
    </w:p>
    <w:p w14:paraId="68D7BFE2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37E93398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086D16AE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</w:tabs>
        <w:spacing w:line="240" w:lineRule="auto"/>
        <w:ind w:firstLine="0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 xml:space="preserve">           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5C0BB720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lastRenderedPageBreak/>
        <w:t>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487D1D04" w14:textId="77777777" w:rsidR="00DE11E2" w:rsidRPr="00DE11E2" w:rsidRDefault="00DE11E2" w:rsidP="00DE11E2">
      <w:pPr>
        <w:spacing w:line="240" w:lineRule="auto"/>
        <w:ind w:firstLine="0"/>
        <w:jc w:val="left"/>
        <w:rPr>
          <w:rFonts w:eastAsia="Times New Roman"/>
          <w:bCs/>
          <w:snapToGrid/>
          <w:sz w:val="22"/>
          <w:szCs w:val="22"/>
          <w:lang w:val="ru"/>
        </w:rPr>
      </w:pPr>
      <w:bookmarkStart w:id="2" w:name="_jop64mz4bpew" w:colFirst="0" w:colLast="0"/>
      <w:bookmarkEnd w:id="2"/>
      <w:r w:rsidRPr="00DE11E2">
        <w:rPr>
          <w:rFonts w:eastAsia="Times New Roman"/>
          <w:bCs/>
          <w:snapToGrid/>
          <w:sz w:val="22"/>
          <w:szCs w:val="22"/>
          <w:lang w:val="ru"/>
        </w:rPr>
        <w:t xml:space="preserve">            Требования к маркировке.</w:t>
      </w:r>
    </w:p>
    <w:p w14:paraId="02CF0CDB" w14:textId="77777777" w:rsidR="00DE11E2" w:rsidRPr="00DE11E2" w:rsidRDefault="00DE11E2" w:rsidP="00DE11E2">
      <w:pPr>
        <w:spacing w:line="240" w:lineRule="auto"/>
        <w:ind w:firstLine="0"/>
        <w:jc w:val="left"/>
        <w:rPr>
          <w:rFonts w:eastAsia="Times New Roman"/>
          <w:b w:val="0"/>
          <w:snapToGrid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sz w:val="22"/>
          <w:szCs w:val="22"/>
          <w:lang w:val="ru"/>
        </w:rPr>
        <w:t xml:space="preserve">            Упаковка должна иметь маркировку. На маркировке должно быть указано:</w:t>
      </w:r>
    </w:p>
    <w:p w14:paraId="5C2CDE56" w14:textId="77777777" w:rsidR="00DE11E2" w:rsidRPr="00DE11E2" w:rsidRDefault="00DE11E2" w:rsidP="00DE11E2">
      <w:pPr>
        <w:spacing w:line="240" w:lineRule="auto"/>
        <w:ind w:firstLine="0"/>
        <w:jc w:val="left"/>
        <w:rPr>
          <w:rFonts w:eastAsia="Times New Roman"/>
          <w:b w:val="0"/>
          <w:snapToGrid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sz w:val="22"/>
          <w:szCs w:val="22"/>
          <w:lang w:val="ru"/>
        </w:rPr>
        <w:t xml:space="preserve">           - наименование завода-изготовителя;</w:t>
      </w:r>
    </w:p>
    <w:p w14:paraId="405A6C9A" w14:textId="77777777" w:rsidR="00DE11E2" w:rsidRPr="00DE11E2" w:rsidRDefault="00DE11E2" w:rsidP="00DE11E2">
      <w:pPr>
        <w:spacing w:line="240" w:lineRule="auto"/>
        <w:ind w:firstLine="0"/>
        <w:jc w:val="left"/>
        <w:rPr>
          <w:rFonts w:eastAsia="Times New Roman"/>
          <w:b w:val="0"/>
          <w:snapToGrid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sz w:val="22"/>
          <w:szCs w:val="22"/>
          <w:lang w:val="ru"/>
        </w:rPr>
        <w:t xml:space="preserve">           - товарный знак завода-изготовителя;</w:t>
      </w:r>
    </w:p>
    <w:p w14:paraId="680514E1" w14:textId="77777777" w:rsidR="00DE11E2" w:rsidRPr="00DE11E2" w:rsidRDefault="00DE11E2" w:rsidP="00DE11E2">
      <w:pPr>
        <w:spacing w:line="240" w:lineRule="auto"/>
        <w:ind w:firstLine="0"/>
        <w:jc w:val="left"/>
        <w:rPr>
          <w:rFonts w:eastAsia="Times New Roman"/>
          <w:b w:val="0"/>
          <w:snapToGrid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sz w:val="22"/>
          <w:szCs w:val="22"/>
          <w:lang w:val="ru"/>
        </w:rPr>
        <w:t xml:space="preserve">           - юридический адрес завода-изготовителя;</w:t>
      </w:r>
    </w:p>
    <w:p w14:paraId="25FED9C6" w14:textId="77777777" w:rsidR="00DE11E2" w:rsidRPr="00DE11E2" w:rsidRDefault="00DE11E2" w:rsidP="00DE11E2">
      <w:pPr>
        <w:spacing w:line="240" w:lineRule="auto"/>
        <w:ind w:firstLine="0"/>
        <w:jc w:val="left"/>
        <w:rPr>
          <w:rFonts w:eastAsia="Times New Roman"/>
          <w:b w:val="0"/>
          <w:snapToGrid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sz w:val="22"/>
          <w:szCs w:val="22"/>
          <w:lang w:val="ru"/>
        </w:rPr>
        <w:t xml:space="preserve">           - наименование товара</w:t>
      </w:r>
    </w:p>
    <w:p w14:paraId="3CF55932" w14:textId="77777777" w:rsidR="00DE11E2" w:rsidRPr="00DE11E2" w:rsidRDefault="00DE11E2" w:rsidP="00DE11E2">
      <w:pPr>
        <w:spacing w:line="240" w:lineRule="auto"/>
        <w:ind w:firstLine="0"/>
        <w:jc w:val="left"/>
        <w:rPr>
          <w:rFonts w:eastAsia="Times New Roman"/>
          <w:b w:val="0"/>
          <w:snapToGrid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sz w:val="22"/>
          <w:szCs w:val="22"/>
          <w:lang w:val="ru"/>
        </w:rPr>
        <w:t xml:space="preserve">           - масса нетто/брутто;</w:t>
      </w:r>
    </w:p>
    <w:p w14:paraId="2B6BABF5" w14:textId="77777777" w:rsidR="00DE11E2" w:rsidRPr="00DE11E2" w:rsidRDefault="00DE11E2" w:rsidP="00DE11E2">
      <w:pPr>
        <w:spacing w:line="240" w:lineRule="auto"/>
        <w:ind w:firstLine="0"/>
        <w:jc w:val="left"/>
        <w:rPr>
          <w:rFonts w:eastAsia="Times New Roman"/>
          <w:b w:val="0"/>
          <w:snapToGrid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sz w:val="22"/>
          <w:szCs w:val="22"/>
          <w:lang w:val="ru"/>
        </w:rPr>
        <w:t xml:space="preserve">           - номер партии;</w:t>
      </w:r>
    </w:p>
    <w:p w14:paraId="5CB092D8" w14:textId="77777777" w:rsidR="00DE11E2" w:rsidRPr="00DE11E2" w:rsidRDefault="00DE11E2" w:rsidP="00DE11E2">
      <w:pPr>
        <w:spacing w:line="240" w:lineRule="auto"/>
        <w:ind w:firstLine="0"/>
        <w:jc w:val="left"/>
        <w:rPr>
          <w:rFonts w:eastAsia="Times New Roman"/>
          <w:b w:val="0"/>
          <w:snapToGrid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sz w:val="22"/>
          <w:szCs w:val="22"/>
          <w:lang w:val="ru"/>
        </w:rPr>
        <w:t xml:space="preserve">           - дата изготовления;</w:t>
      </w:r>
    </w:p>
    <w:p w14:paraId="7CFE5530" w14:textId="77777777" w:rsidR="00DE11E2" w:rsidRPr="00DE11E2" w:rsidRDefault="00DE11E2" w:rsidP="00DE11E2">
      <w:pPr>
        <w:spacing w:line="240" w:lineRule="auto"/>
        <w:ind w:firstLine="0"/>
        <w:jc w:val="left"/>
        <w:rPr>
          <w:rFonts w:eastAsia="Times New Roman"/>
          <w:b w:val="0"/>
          <w:snapToGrid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sz w:val="22"/>
          <w:szCs w:val="22"/>
          <w:lang w:val="ru"/>
        </w:rPr>
        <w:t xml:space="preserve">           - срок годности или гарантийный срок материала;</w:t>
      </w:r>
    </w:p>
    <w:p w14:paraId="441701C8" w14:textId="77777777" w:rsidR="00DE11E2" w:rsidRPr="00DE11E2" w:rsidRDefault="00DE11E2" w:rsidP="00DE11E2">
      <w:pPr>
        <w:spacing w:line="240" w:lineRule="auto"/>
        <w:ind w:firstLine="0"/>
        <w:jc w:val="left"/>
        <w:rPr>
          <w:rFonts w:eastAsia="Times New Roman"/>
          <w:b w:val="0"/>
          <w:snapToGrid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sz w:val="22"/>
          <w:szCs w:val="22"/>
          <w:lang w:val="ru"/>
        </w:rPr>
        <w:t xml:space="preserve">           - состав.</w:t>
      </w:r>
    </w:p>
    <w:p w14:paraId="41AC2C80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Cs/>
          <w:snapToGrid/>
          <w:color w:val="000000"/>
          <w:sz w:val="22"/>
          <w:szCs w:val="22"/>
          <w:lang w:val="ru"/>
        </w:rPr>
        <w:t>Требования к сроку и (или) объему предоставления гарантий качества товаров:</w:t>
      </w:r>
    </w:p>
    <w:p w14:paraId="0533F1FC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34D70EF7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Наличие недостатков и сроки их устранения фиксируются Сторонами в двухстороннем акте выявленных недостатков.</w:t>
      </w:r>
    </w:p>
    <w:p w14:paraId="3965D8F8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 xml:space="preserve">Остаточный срок годности: не менее </w:t>
      </w:r>
      <w:r w:rsidRPr="00DE11E2">
        <w:rPr>
          <w:rFonts w:eastAsia="Times New Roman"/>
          <w:b w:val="0"/>
          <w:snapToGrid/>
          <w:sz w:val="22"/>
          <w:szCs w:val="22"/>
          <w:lang w:val="ru"/>
        </w:rPr>
        <w:t>8</w:t>
      </w: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0% от установленного производителем.</w:t>
      </w:r>
    </w:p>
    <w:p w14:paraId="134187A0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Cs/>
          <w:snapToGrid/>
          <w:color w:val="000000"/>
          <w:sz w:val="22"/>
          <w:szCs w:val="22"/>
          <w:lang w:val="ru"/>
        </w:rPr>
        <w:t>Требования к условиям поставки товара, отгрузке товара:</w:t>
      </w:r>
    </w:p>
    <w:p w14:paraId="53FCBD52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21F7D579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3BC53EE6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190AE363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Товар должен сопровождаться следующими документами:</w:t>
      </w:r>
    </w:p>
    <w:p w14:paraId="51C1FAAC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– товарная накладная (ТОРГ-12) или УПД (оригиналы);</w:t>
      </w:r>
    </w:p>
    <w:p w14:paraId="19BA6AAF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– счет на оплату (оригиналы);</w:t>
      </w:r>
    </w:p>
    <w:p w14:paraId="1F9B7905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– счет-фактура или УПД (оригиналы);</w:t>
      </w:r>
    </w:p>
    <w:p w14:paraId="2A7E6632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– копия сертификата соответствия или декларации соответствия.</w:t>
      </w:r>
    </w:p>
    <w:p w14:paraId="4E235A8A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7726DD9D" w14:textId="77777777" w:rsidR="00CA1DDE" w:rsidRPr="00DE11E2" w:rsidRDefault="00CA1DDE" w:rsidP="00DE11E2">
      <w:pPr>
        <w:suppressAutoHyphens/>
        <w:spacing w:line="240" w:lineRule="auto"/>
        <w:ind w:right="-1" w:firstLine="0"/>
        <w:jc w:val="center"/>
        <w:rPr>
          <w:sz w:val="24"/>
          <w:szCs w:val="24"/>
          <w:lang w:val="ru"/>
        </w:rPr>
      </w:pPr>
    </w:p>
    <w:sectPr w:rsidR="00CA1DDE" w:rsidRPr="00DE11E2" w:rsidSect="00DA1D7D">
      <w:pgSz w:w="11567" w:h="16500" w:code="9"/>
      <w:pgMar w:top="284" w:right="170" w:bottom="278" w:left="96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606"/>
    <w:rsid w:val="000C1C36"/>
    <w:rsid w:val="00367606"/>
    <w:rsid w:val="003E06B6"/>
    <w:rsid w:val="00422863"/>
    <w:rsid w:val="0049360D"/>
    <w:rsid w:val="00501B50"/>
    <w:rsid w:val="0059654B"/>
    <w:rsid w:val="0073569C"/>
    <w:rsid w:val="00B67E2C"/>
    <w:rsid w:val="00BB79C7"/>
    <w:rsid w:val="00CA1DDE"/>
    <w:rsid w:val="00D3615C"/>
    <w:rsid w:val="00DA1D7D"/>
    <w:rsid w:val="00DE11E2"/>
    <w:rsid w:val="00DF1442"/>
    <w:rsid w:val="00ED05EA"/>
    <w:rsid w:val="00F3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4663"/>
  <w15:chartTrackingRefBased/>
  <w15:docId w15:val="{812B0F20-995E-4C1E-8A75-560C2B78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6B6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b/>
      <w:snapToGrid w:val="0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F1442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Cs/>
      <w:snapToGrid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qFormat/>
    <w:rsid w:val="003E06B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b w:val="0"/>
      <w:snapToGrid/>
      <w:sz w:val="24"/>
      <w:szCs w:val="24"/>
      <w:lang w:val="x-none" w:eastAsia="x-none"/>
    </w:rPr>
  </w:style>
  <w:style w:type="character" w:customStyle="1" w:styleId="a4">
    <w:name w:val="Обычный (Интернет) Знак"/>
    <w:link w:val="a3"/>
    <w:rsid w:val="003E06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DF14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ds37.2021@outlook.com</cp:lastModifiedBy>
  <cp:revision>11</cp:revision>
  <dcterms:created xsi:type="dcterms:W3CDTF">2025-11-13T04:36:00Z</dcterms:created>
  <dcterms:modified xsi:type="dcterms:W3CDTF">2025-11-18T11:40:00Z</dcterms:modified>
</cp:coreProperties>
</file>