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7B" w:rsidRPr="0034460D" w:rsidRDefault="00AE5F7B" w:rsidP="00AE5F7B">
      <w:pPr>
        <w:pStyle w:val="1"/>
        <w:ind w:left="0" w:firstLine="0"/>
        <w:rPr>
          <w:rFonts w:ascii="Times New Roman" w:hAnsi="Times New Roman"/>
          <w:b/>
          <w:bCs/>
          <w:sz w:val="24"/>
        </w:rPr>
      </w:pPr>
      <w:r w:rsidRPr="0034460D">
        <w:rPr>
          <w:rFonts w:ascii="Times New Roman" w:hAnsi="Times New Roman"/>
          <w:b/>
          <w:bCs/>
          <w:sz w:val="24"/>
        </w:rPr>
        <w:t>ТЕХНИЧЕСКОЕ ЗАДАНИЕ</w:t>
      </w:r>
    </w:p>
    <w:p w:rsidR="00AE5F7B" w:rsidRDefault="00AE5F7B" w:rsidP="00AE5F7B">
      <w:pPr>
        <w:tabs>
          <w:tab w:val="left" w:pos="1276"/>
        </w:tabs>
        <w:suppressAutoHyphens/>
        <w:spacing w:line="240" w:lineRule="auto"/>
        <w:ind w:firstLine="709"/>
        <w:jc w:val="center"/>
        <w:rPr>
          <w:b/>
          <w:bCs/>
          <w:color w:val="000000"/>
          <w:sz w:val="20"/>
        </w:rPr>
      </w:pPr>
      <w:r w:rsidRPr="00277C1B">
        <w:rPr>
          <w:b/>
          <w:bCs/>
          <w:color w:val="000000"/>
          <w:sz w:val="20"/>
        </w:rPr>
        <w:t>на поставку продуктов питания - овощи, фрукты, сухофрукты.</w:t>
      </w:r>
      <w:r w:rsidRPr="00301521">
        <w:rPr>
          <w:b/>
          <w:bCs/>
          <w:color w:val="000000"/>
          <w:sz w:val="20"/>
        </w:rPr>
        <w:t xml:space="preserve"> </w:t>
      </w:r>
    </w:p>
    <w:p w:rsidR="00AE5F7B" w:rsidRPr="00301521" w:rsidRDefault="00AE5F7B" w:rsidP="00AE5F7B">
      <w:pPr>
        <w:tabs>
          <w:tab w:val="left" w:pos="1276"/>
        </w:tabs>
        <w:suppressAutoHyphens/>
        <w:spacing w:line="240" w:lineRule="auto"/>
        <w:ind w:firstLine="709"/>
        <w:jc w:val="center"/>
        <w:rPr>
          <w:b/>
          <w:bCs/>
          <w:color w:val="000000"/>
          <w:sz w:val="20"/>
        </w:rPr>
      </w:pP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1. Описание объекта закупки: поставка продуктов питания – овощи, фрукты, сухофрукты.</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2. Место доставки товара (указать конкретный адрес (адреса) или приложить перечень адресов, отгрузочную разнарядку):</w:t>
      </w:r>
    </w:p>
    <w:p w:rsidR="00AE5F7B" w:rsidRPr="00301521" w:rsidRDefault="00AE5F7B" w:rsidP="00AE5F7B">
      <w:pPr>
        <w:spacing w:line="240" w:lineRule="auto"/>
        <w:ind w:firstLine="709"/>
        <w:rPr>
          <w:b/>
          <w:bCs/>
          <w:color w:val="000000"/>
          <w:sz w:val="20"/>
        </w:rPr>
      </w:pPr>
      <w:r w:rsidRPr="00301521">
        <w:rPr>
          <w:b/>
          <w:bCs/>
          <w:color w:val="000000"/>
          <w:sz w:val="20"/>
          <w:shd w:val="clear" w:color="auto" w:fill="FFFFFF"/>
          <w:lang w:eastAsia="en-US"/>
        </w:rPr>
        <w:t xml:space="preserve">-  1 корпус- </w:t>
      </w:r>
      <w:r w:rsidRPr="00301521">
        <w:rPr>
          <w:b/>
          <w:bCs/>
          <w:color w:val="000000"/>
          <w:sz w:val="20"/>
        </w:rPr>
        <w:t>628605, ХМАО- Югра, г. Нижневартовск, ул. Ханты-мансийская, д.19А,</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rPr>
        <w:t>-  2 корпус-628605, ХМАО- Югра, г. Нижневартовск, Дружбы Народов д.14А.</w:t>
      </w:r>
    </w:p>
    <w:p w:rsidR="00AE5F7B" w:rsidRPr="00301521" w:rsidRDefault="00AE5F7B" w:rsidP="00AE5F7B">
      <w:pPr>
        <w:spacing w:line="240" w:lineRule="auto"/>
        <w:ind w:firstLine="709"/>
        <w:rPr>
          <w:b/>
          <w:bCs/>
          <w:color w:val="000000"/>
          <w:sz w:val="20"/>
        </w:rPr>
      </w:pPr>
      <w:r w:rsidRPr="00301521">
        <w:rPr>
          <w:b/>
          <w:bCs/>
          <w:color w:val="000000"/>
          <w:sz w:val="20"/>
          <w:shd w:val="clear" w:color="auto" w:fill="FFFFFF"/>
          <w:lang w:eastAsia="en-US"/>
        </w:rPr>
        <w:t>-  3 корпус-</w:t>
      </w:r>
      <w:r w:rsidRPr="00301521">
        <w:rPr>
          <w:b/>
          <w:bCs/>
          <w:color w:val="000000"/>
          <w:sz w:val="20"/>
        </w:rPr>
        <w:t>628605, ХМАО- Югра, г. Нижневартовск, Дружбы Народов д.14Б.</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3. Сроки (периоды), условия поставки товара: </w:t>
      </w:r>
      <w:r w:rsidR="003C6198">
        <w:rPr>
          <w:b/>
          <w:bCs/>
          <w:color w:val="000000"/>
          <w:sz w:val="20"/>
        </w:rPr>
        <w:t>с 01.01.2026 по 31.03.2026</w:t>
      </w:r>
      <w:r w:rsidRPr="00301521">
        <w:rPr>
          <w:b/>
          <w:bCs/>
          <w:color w:val="000000"/>
          <w:sz w:val="20"/>
        </w:rPr>
        <w:t>г., еженедельно, 2 раза в неделю по заявке Заказчика переданной Поставщику.</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4. 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(конкретизируются заказчиком): стоимость Продукции, упаковки, тары, затраты по хранению, перевозке и доставки Продукции к месту назначения с соблюдением условий поставки и разгрузки; расходы по оформлению необходимой документации, в том числе расходы по производственному контролю качества продукции, а также при необходимости расходы Поставщика по страхованию поставляемой Продукции, все налоги и сборы, а также другие обязательные платежи, связанные с исполнением государственного договора подлежащие уплате в соответствии с действующим законодательством</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5. Требования по передаче заказчику технических и иных  документов при поставке товара (конкретизируются заказчиком): 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производственно технического назначения и товаров народного потребления по количеству и качеству № П-6, № П-7, утвержденными Постановлениями Госарбитража СССР 15.06.1965 г. и 25.04.1966 г. соответственно, с последующими изменениями и дополнениями.).</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 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счета- фактуры на имя Заказчика.</w:t>
      </w:r>
    </w:p>
    <w:p w:rsidR="00AE5F7B" w:rsidRPr="00301521" w:rsidRDefault="00AE5F7B" w:rsidP="00AE5F7B">
      <w:pPr>
        <w:spacing w:line="240" w:lineRule="auto"/>
        <w:ind w:firstLine="709"/>
        <w:rPr>
          <w:b/>
          <w:bCs/>
          <w:color w:val="000000"/>
          <w:sz w:val="20"/>
          <w:shd w:val="clear" w:color="auto" w:fill="FFFFFF"/>
          <w:lang w:eastAsia="en-US"/>
        </w:rPr>
      </w:pPr>
      <w:r w:rsidRPr="00301521">
        <w:rPr>
          <w:b/>
          <w:bCs/>
          <w:color w:val="000000"/>
          <w:sz w:val="20"/>
          <w:shd w:val="clear" w:color="auto" w:fill="FFFFFF"/>
          <w:lang w:eastAsia="en-US"/>
        </w:rPr>
        <w:t>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недопоставленной и Поставщик обязуется поставить Продукцию в течение 1 (одного) дня с момента непоставки/недопоставки</w:t>
      </w:r>
    </w:p>
    <w:p w:rsidR="00AE5F7B" w:rsidRPr="00301521" w:rsidRDefault="00AE5F7B" w:rsidP="00AE5F7B">
      <w:pPr>
        <w:spacing w:line="240" w:lineRule="auto"/>
        <w:rPr>
          <w:b/>
          <w:bCs/>
          <w:color w:val="000000"/>
          <w:sz w:val="20"/>
          <w:shd w:val="clear" w:color="auto" w:fill="FFFFFF"/>
          <w:lang w:eastAsia="en-US"/>
        </w:rPr>
      </w:pPr>
      <w:r w:rsidRPr="00301521">
        <w:rPr>
          <w:b/>
          <w:bCs/>
          <w:color w:val="000000"/>
          <w:sz w:val="20"/>
          <w:shd w:val="clear" w:color="auto" w:fill="FFFFFF"/>
          <w:lang w:eastAsia="en-US"/>
        </w:rPr>
        <w:t>6. Описание объекта закупки:</w:t>
      </w:r>
    </w:p>
    <w:tbl>
      <w:tblPr>
        <w:tblW w:w="10059"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548"/>
        <w:gridCol w:w="1289"/>
        <w:gridCol w:w="5420"/>
        <w:gridCol w:w="609"/>
        <w:gridCol w:w="677"/>
      </w:tblGrid>
      <w:tr w:rsidR="00AE5F7B" w:rsidRPr="00301521" w:rsidTr="003C6198">
        <w:trPr>
          <w:jc w:val="center"/>
        </w:trPr>
        <w:tc>
          <w:tcPr>
            <w:tcW w:w="516" w:type="dxa"/>
            <w:vAlign w:val="center"/>
          </w:tcPr>
          <w:p w:rsidR="00AE5F7B" w:rsidRPr="00301521" w:rsidRDefault="00AE5F7B" w:rsidP="001C252E">
            <w:pPr>
              <w:keepNext/>
              <w:keepLines/>
              <w:spacing w:line="240" w:lineRule="auto"/>
              <w:jc w:val="center"/>
              <w:rPr>
                <w:b/>
                <w:bCs/>
                <w:color w:val="000000"/>
                <w:sz w:val="20"/>
              </w:rPr>
            </w:pPr>
            <w:r w:rsidRPr="00301521">
              <w:rPr>
                <w:b/>
                <w:bCs/>
                <w:color w:val="000000"/>
                <w:sz w:val="20"/>
              </w:rPr>
              <w:t>№ п/п</w:t>
            </w:r>
          </w:p>
        </w:tc>
        <w:tc>
          <w:tcPr>
            <w:tcW w:w="1548" w:type="dxa"/>
            <w:vAlign w:val="center"/>
          </w:tcPr>
          <w:p w:rsidR="00AE5F7B" w:rsidRPr="00301521" w:rsidRDefault="00AE5F7B" w:rsidP="001C252E">
            <w:pPr>
              <w:keepNext/>
              <w:keepLines/>
              <w:spacing w:line="240" w:lineRule="auto"/>
              <w:jc w:val="center"/>
              <w:rPr>
                <w:b/>
                <w:bCs/>
                <w:color w:val="000000"/>
                <w:sz w:val="20"/>
              </w:rPr>
            </w:pPr>
            <w:r w:rsidRPr="00301521">
              <w:rPr>
                <w:b/>
                <w:bCs/>
                <w:color w:val="000000"/>
                <w:sz w:val="20"/>
              </w:rPr>
              <w:t>Наименование</w:t>
            </w:r>
          </w:p>
        </w:tc>
        <w:tc>
          <w:tcPr>
            <w:tcW w:w="1289" w:type="dxa"/>
            <w:vAlign w:val="center"/>
          </w:tcPr>
          <w:p w:rsidR="00AE5F7B" w:rsidRPr="00301521" w:rsidRDefault="00AE5F7B" w:rsidP="001C252E">
            <w:pPr>
              <w:keepNext/>
              <w:keepLines/>
              <w:spacing w:line="240" w:lineRule="auto"/>
              <w:jc w:val="center"/>
              <w:rPr>
                <w:b/>
                <w:bCs/>
                <w:color w:val="000000"/>
                <w:sz w:val="20"/>
              </w:rPr>
            </w:pPr>
            <w:r w:rsidRPr="00301521">
              <w:rPr>
                <w:b/>
                <w:bCs/>
                <w:color w:val="000000"/>
                <w:sz w:val="20"/>
              </w:rPr>
              <w:t>ОКПД 2</w:t>
            </w:r>
          </w:p>
        </w:tc>
        <w:tc>
          <w:tcPr>
            <w:tcW w:w="5420" w:type="dxa"/>
            <w:vAlign w:val="center"/>
          </w:tcPr>
          <w:p w:rsidR="00AE5F7B" w:rsidRPr="00301521" w:rsidRDefault="00AE5F7B" w:rsidP="001C252E">
            <w:pPr>
              <w:keepNext/>
              <w:keepLines/>
              <w:spacing w:line="240" w:lineRule="auto"/>
              <w:jc w:val="center"/>
              <w:rPr>
                <w:b/>
                <w:bCs/>
                <w:color w:val="000000"/>
                <w:sz w:val="20"/>
              </w:rPr>
            </w:pPr>
            <w:r w:rsidRPr="00301521">
              <w:rPr>
                <w:b/>
                <w:bCs/>
                <w:color w:val="000000"/>
                <w:sz w:val="20"/>
              </w:rPr>
              <w:t>Технические характеристики</w:t>
            </w:r>
          </w:p>
        </w:tc>
        <w:tc>
          <w:tcPr>
            <w:tcW w:w="609" w:type="dxa"/>
            <w:vAlign w:val="center"/>
          </w:tcPr>
          <w:p w:rsidR="00AE5F7B" w:rsidRPr="00301521" w:rsidRDefault="00AE5F7B" w:rsidP="001C252E">
            <w:pPr>
              <w:keepNext/>
              <w:keepLines/>
              <w:spacing w:line="240" w:lineRule="auto"/>
              <w:jc w:val="center"/>
              <w:rPr>
                <w:b/>
                <w:bCs/>
                <w:color w:val="000000"/>
                <w:sz w:val="20"/>
              </w:rPr>
            </w:pPr>
            <w:r w:rsidRPr="00301521">
              <w:rPr>
                <w:b/>
                <w:bCs/>
                <w:color w:val="000000"/>
                <w:sz w:val="20"/>
              </w:rPr>
              <w:t>Ед.</w:t>
            </w:r>
            <w:r w:rsidRPr="00301521">
              <w:rPr>
                <w:b/>
                <w:bCs/>
                <w:color w:val="000000"/>
                <w:sz w:val="20"/>
              </w:rPr>
              <w:br/>
              <w:t>изм.</w:t>
            </w:r>
          </w:p>
        </w:tc>
        <w:tc>
          <w:tcPr>
            <w:tcW w:w="677" w:type="dxa"/>
            <w:vAlign w:val="center"/>
          </w:tcPr>
          <w:p w:rsidR="00AE5F7B" w:rsidRPr="00301521" w:rsidRDefault="00AE5F7B" w:rsidP="001C252E">
            <w:pPr>
              <w:keepNext/>
              <w:keepLines/>
              <w:spacing w:line="240" w:lineRule="auto"/>
              <w:jc w:val="center"/>
              <w:rPr>
                <w:b/>
                <w:bCs/>
                <w:color w:val="000000"/>
                <w:sz w:val="20"/>
              </w:rPr>
            </w:pPr>
            <w:r w:rsidRPr="00301521">
              <w:rPr>
                <w:b/>
                <w:bCs/>
                <w:color w:val="000000"/>
                <w:sz w:val="20"/>
              </w:rPr>
              <w:t>Кол-во</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Яблоко</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01.24.10.000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 xml:space="preserve">Яблоки свежие. Внешний вид:  плоды целые, средней величины, правильной формы, средних размеров (100-150 г) без допустимых дефектов, целые, без механических повреждений, чистые, без повреждений сельскохозяйственными вредителями и болезнями, с </w:t>
            </w:r>
            <w:r w:rsidRPr="00301521">
              <w:rPr>
                <w:b/>
                <w:bCs/>
                <w:color w:val="000000"/>
                <w:sz w:val="20"/>
              </w:rPr>
              <w:lastRenderedPageBreak/>
              <w:t xml:space="preserve">целой плодоножкой или без нее, без посторонних запахов и привкусов, без излишней внешней влажности,  сочные, кисло-сладкие, типичной для помологического сорта формы и окраски. </w:t>
            </w:r>
            <w:r w:rsidRPr="00301521">
              <w:rPr>
                <w:b/>
                <w:bCs/>
                <w:color w:val="000000"/>
                <w:sz w:val="20"/>
              </w:rPr>
              <w:br/>
              <w:t>Не допускается: наличие сорной примеси;  плодов, поврежденных сельскохозяйственными вредителями, гнилых, испорченных, перезрелых. Наличие сертификата соответствия, хорошего товарного вида , должны соответствовать действующему ГОСТу 34314-2017.</w:t>
            </w:r>
          </w:p>
          <w:p w:rsidR="00AE5F7B" w:rsidRPr="00301521" w:rsidRDefault="00AE5F7B" w:rsidP="001C252E">
            <w:pPr>
              <w:spacing w:line="240" w:lineRule="auto"/>
              <w:rPr>
                <w:b/>
                <w:bCs/>
                <w:color w:val="000000"/>
                <w:sz w:val="20"/>
              </w:rPr>
            </w:pPr>
            <w:r w:rsidRPr="00301521">
              <w:rPr>
                <w:b/>
                <w:bCs/>
                <w:color w:val="000000"/>
                <w:sz w:val="20"/>
              </w:rPr>
              <w:t>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AE5F7B" w:rsidP="001C252E">
            <w:pPr>
              <w:spacing w:line="240" w:lineRule="auto"/>
              <w:jc w:val="center"/>
              <w:rPr>
                <w:b/>
                <w:bCs/>
                <w:color w:val="000000"/>
                <w:sz w:val="20"/>
              </w:rPr>
            </w:pPr>
            <w:r w:rsidRPr="00E52481">
              <w:rPr>
                <w:b/>
                <w:bCs/>
                <w:color w:val="000000"/>
                <w:sz w:val="20"/>
              </w:rPr>
              <w:t>1000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2</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 xml:space="preserve">Перец болгарский </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01.13.90.000 (П)</w:t>
            </w:r>
          </w:p>
        </w:tc>
        <w:tc>
          <w:tcPr>
            <w:tcW w:w="5420" w:type="dxa"/>
            <w:vAlign w:val="center"/>
          </w:tcPr>
          <w:p w:rsidR="00AE5F7B" w:rsidRPr="00301521" w:rsidRDefault="00AE5F7B" w:rsidP="001C252E">
            <w:pPr>
              <w:spacing w:line="240" w:lineRule="auto"/>
              <w:rPr>
                <w:rFonts w:eastAsia="Times New Roman"/>
                <w:b/>
                <w:bCs/>
                <w:color w:val="000000"/>
                <w:sz w:val="20"/>
              </w:rPr>
            </w:pPr>
            <w:r w:rsidRPr="00301521">
              <w:rPr>
                <w:rFonts w:eastAsia="Times New Roman"/>
                <w:b/>
                <w:bCs/>
                <w:color w:val="000000"/>
                <w:sz w:val="20"/>
              </w:rPr>
              <w:t>Соответствует требованиям ГОСТ 34325-2017.</w:t>
            </w:r>
          </w:p>
          <w:p w:rsidR="00AE5F7B" w:rsidRPr="00301521" w:rsidRDefault="00AE5F7B" w:rsidP="001C252E">
            <w:pPr>
              <w:spacing w:line="240" w:lineRule="auto"/>
              <w:rPr>
                <w:b/>
                <w:bCs/>
                <w:color w:val="000000"/>
                <w:sz w:val="20"/>
              </w:rPr>
            </w:pPr>
            <w:r w:rsidRPr="00301521">
              <w:rPr>
                <w:rFonts w:eastAsia="Times New Roman"/>
                <w:b/>
                <w:bCs/>
                <w:color w:val="000000"/>
                <w:sz w:val="20"/>
              </w:rPr>
              <w:t>Внешний вид: плоды целые, здоровые, чистые, свежие, плотные, без механических повреждений и повреждений, вызванных низкой температурой, без излишней внешней влажности, с плодоножками.</w:t>
            </w:r>
            <w:r w:rsidRPr="00301521">
              <w:rPr>
                <w:b/>
                <w:bCs/>
                <w:color w:val="000000"/>
                <w:sz w:val="20"/>
              </w:rPr>
              <w:t xml:space="preserve"> </w:t>
            </w:r>
            <w:r w:rsidRPr="00301521">
              <w:rPr>
                <w:rFonts w:eastAsia="Times New Roman"/>
                <w:b/>
                <w:bCs/>
                <w:color w:val="000000"/>
                <w:sz w:val="20"/>
              </w:rPr>
              <w:t>Допускаются плоды с незначительными поверхностными дефектами, не влияющими на общий внешний вид, качество, сохранность и товарный вид продукта в упаковке.</w:t>
            </w:r>
            <w:r w:rsidRPr="00301521">
              <w:rPr>
                <w:b/>
                <w:bCs/>
                <w:color w:val="000000"/>
                <w:sz w:val="20"/>
              </w:rPr>
              <w:t xml:space="preserve"> </w:t>
            </w:r>
            <w:r w:rsidRPr="00301521">
              <w:rPr>
                <w:rFonts w:eastAsia="Times New Roman"/>
                <w:b/>
                <w:bCs/>
                <w:color w:val="000000"/>
                <w:sz w:val="20"/>
              </w:rPr>
              <w:t>Плоды плотные, способные выдерживать транспортирование, погрузку, разгрузку и доставку к месту назначения.</w:t>
            </w:r>
            <w:r w:rsidRPr="00301521">
              <w:rPr>
                <w:b/>
                <w:bCs/>
                <w:color w:val="000000"/>
                <w:sz w:val="20"/>
              </w:rPr>
              <w:t xml:space="preserve"> </w:t>
            </w:r>
            <w:r w:rsidRPr="00301521">
              <w:rPr>
                <w:rFonts w:eastAsia="Times New Roman"/>
                <w:b/>
                <w:bCs/>
                <w:color w:val="000000"/>
                <w:sz w:val="20"/>
              </w:rPr>
              <w:t>Запах и вкус: свойственные данному ботаническому сорту, без постороннего запаха и (или) привкуса.</w:t>
            </w:r>
            <w:r w:rsidRPr="00301521">
              <w:rPr>
                <w:b/>
                <w:bCs/>
                <w:color w:val="000000"/>
                <w:sz w:val="20"/>
              </w:rPr>
              <w:t xml:space="preserve"> </w:t>
            </w:r>
            <w:r w:rsidRPr="00301521">
              <w:rPr>
                <w:rFonts w:eastAsia="Times New Roman"/>
                <w:b/>
                <w:bCs/>
                <w:color w:val="000000"/>
                <w:sz w:val="20"/>
              </w:rPr>
              <w:t>Не допускается: наличие плодов, поврежденных сельскохозяйственными вредителями и пораженных болезнями, наличие посторонней примеси, наличие гнилых, увядших, подмороженных плодов.</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2</w:t>
            </w:r>
            <w:r w:rsidR="00AE5F7B" w:rsidRPr="00E52481">
              <w:rPr>
                <w:b/>
                <w:bCs/>
                <w:color w:val="000000"/>
                <w:sz w:val="20"/>
              </w:rPr>
              <w:t>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3</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Лимон</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01.23.12.000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Лимон свежий. Внешний вид: плоды свежие 100-150 грамм, целые, чистые, здоровые, не увядшие, спелые,  без механических повреждений, без повреждений вредителями и болезнями, морозами, излишней внешней влажности, поверхность кожуры чистая от посторонних веществ (песка, земли, остатков листьев ), без побитостей, и/или крупных зарубцевавшихся трещин, с ровно срезанной у основания плода плодоножкой. Допускаются плоды с отпавшей, но не вырванной плодоножкой. Окраска:  светло-зеленая, желтая (различной интенсивности). Запах и вкус: свойственные свежим лимонам,  без постороннего запаха и привкуса. Не допускается:  плоды зеленые, подмороженные, поврежденные и загнившие, заплесневевшие, давленые. Наличие сертификата соответствия, , должны соответствовать действующему ГОСТу 4429-82.</w:t>
            </w:r>
          </w:p>
          <w:p w:rsidR="00AE5F7B" w:rsidRPr="00301521" w:rsidRDefault="00AE5F7B" w:rsidP="001C252E">
            <w:pPr>
              <w:spacing w:line="240" w:lineRule="auto"/>
              <w:rPr>
                <w:b/>
                <w:bCs/>
                <w:color w:val="000000"/>
                <w:sz w:val="20"/>
              </w:rPr>
            </w:pPr>
            <w:r w:rsidRPr="00301521">
              <w:rPr>
                <w:b/>
                <w:bCs/>
                <w:color w:val="000000"/>
                <w:sz w:val="20"/>
              </w:rPr>
              <w:t xml:space="preserve">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w:t>
            </w:r>
            <w:r w:rsidRPr="00301521">
              <w:rPr>
                <w:b/>
                <w:bCs/>
                <w:color w:val="000000"/>
                <w:sz w:val="20"/>
              </w:rPr>
              <w:lastRenderedPageBreak/>
              <w:t>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75</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4</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Банан</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01.22.12.000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1 сорт. Внешний вид – плоды одного помологического сорта. Допускается не более одного вырезанного плода в кисти с остатком плодоножки зеленого цвета. Плоды в кисти твердые, свежие, чистые, целые, здоровые, развившиеся, неуродливые, без остатков цветка, имеющие хорошо выраженные ребристые боковые грани. Крона зеленого цвета, срезы ее ровные, гладкие, здоровые, не пересушенные.</w:t>
            </w:r>
            <w:r w:rsidRPr="00301521">
              <w:rPr>
                <w:b/>
                <w:bCs/>
                <w:color w:val="000000"/>
                <w:sz w:val="20"/>
                <w:shd w:val="clear" w:color="auto" w:fill="FFFFFF"/>
              </w:rPr>
              <w:t xml:space="preserve"> </w:t>
            </w:r>
            <w:r w:rsidRPr="00301521">
              <w:rPr>
                <w:b/>
                <w:bCs/>
                <w:color w:val="000000"/>
                <w:sz w:val="20"/>
              </w:rPr>
              <w:t>лоды при разрезании имеют легкий огуречный аромат. Специфический запах спелых бананов, вкус сладкий, без постороннего привкуса и аромата.</w:t>
            </w:r>
            <w:r w:rsidRPr="00301521">
              <w:rPr>
                <w:b/>
                <w:bCs/>
                <w:color w:val="000000"/>
                <w:sz w:val="20"/>
                <w:shd w:val="clear" w:color="auto" w:fill="FFFFFF"/>
              </w:rPr>
              <w:t xml:space="preserve"> </w:t>
            </w:r>
            <w:r w:rsidRPr="00301521">
              <w:rPr>
                <w:b/>
                <w:bCs/>
                <w:color w:val="000000"/>
                <w:sz w:val="20"/>
              </w:rPr>
              <w:t>При разрезании плодов хорошо выделяется млечный сок. Зрелость – плоды съемной степени зрелости. Мякоть плотная, белая с трудно отделяемой кожурой зеленой окраски. Тара – коробки. Соответствует требованиям ГОСТ Р 51603-2000.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9</w:t>
            </w:r>
            <w:r w:rsidR="00AE5F7B" w:rsidRPr="00E52481">
              <w:rPr>
                <w:b/>
                <w:bCs/>
                <w:color w:val="000000"/>
                <w:sz w:val="20"/>
              </w:rPr>
              <w:t>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5</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Груша</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01.24.21.000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Внешний вид плода целые, крупные, одномерные, удлиненно-грушевидные. Кожица жестковатая, плотная, матовая. Окрас кожуры при съеме зеленовато-желтый, в густых ржавых пятнах. Подкожные точки отсутствуют. Плодоножка толстая, короткая или средней величины, дугообразной формы. Воронка с полуоткрытой или открытой чашечкой вес не менее 140гр не более 200 гр</w:t>
            </w:r>
          </w:p>
          <w:p w:rsidR="00AE5F7B" w:rsidRPr="00301521" w:rsidRDefault="00AE5F7B" w:rsidP="001C252E">
            <w:pPr>
              <w:spacing w:line="240" w:lineRule="auto"/>
              <w:rPr>
                <w:b/>
                <w:bCs/>
                <w:color w:val="000000"/>
                <w:sz w:val="20"/>
              </w:rPr>
            </w:pPr>
            <w:r w:rsidRPr="00301521">
              <w:rPr>
                <w:b/>
                <w:bCs/>
                <w:color w:val="000000"/>
                <w:sz w:val="20"/>
              </w:rPr>
              <w:t xml:space="preserve">  Чистые, здоровые, не увядшие, спелые,  без механических повреждений, без повреждений вредителями и болезнями, морозами, излишней внешней влажности, поверхность кожуры чистая от посторонних веществ (песка, земли, остатков листьев), без побитостей, и/или крупных зарубцевавшихся трещин, с ровно срезанной у основания плода плодоножкой. Допускаются плоды с отпавшей, но не вырванной плодоножкой,  без постороннего запаха и привкуса. Не допускается:  плоды зеленые, подмороженные, поврежденные и загнившие, заплесневевшие, давленые. Наличие сертификата соответствия, должны соответствовать действующему ГОСТу 33499-2015.</w:t>
            </w:r>
          </w:p>
          <w:p w:rsidR="00AE5F7B" w:rsidRPr="00301521" w:rsidRDefault="00AE5F7B" w:rsidP="001C252E">
            <w:pPr>
              <w:spacing w:line="240" w:lineRule="auto"/>
              <w:rPr>
                <w:b/>
                <w:bCs/>
                <w:color w:val="000000"/>
                <w:sz w:val="20"/>
              </w:rPr>
            </w:pPr>
            <w:r w:rsidRPr="00301521">
              <w:rPr>
                <w:b/>
                <w:bCs/>
                <w:color w:val="000000"/>
                <w:sz w:val="20"/>
              </w:rPr>
              <w:t>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500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6</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Апельсины</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01.23.13.000 (П)</w:t>
            </w:r>
          </w:p>
        </w:tc>
        <w:tc>
          <w:tcPr>
            <w:tcW w:w="5420" w:type="dxa"/>
            <w:vAlign w:val="center"/>
          </w:tcPr>
          <w:p w:rsidR="00AE5F7B" w:rsidRPr="00301521" w:rsidRDefault="00AE5F7B" w:rsidP="001C252E">
            <w:pPr>
              <w:spacing w:line="240" w:lineRule="auto"/>
              <w:rPr>
                <w:b/>
                <w:bCs/>
                <w:color w:val="000000"/>
                <w:sz w:val="20"/>
                <w:lang w:eastAsia="en-US"/>
              </w:rPr>
            </w:pPr>
            <w:r w:rsidRPr="00301521">
              <w:rPr>
                <w:b/>
                <w:bCs/>
                <w:color w:val="000000"/>
                <w:sz w:val="20"/>
                <w:lang w:eastAsia="en-US"/>
              </w:rPr>
              <w:t xml:space="preserve">Апельсины свежие. Внешний вид: плоды 180-200 грамм, свежие, целые, чистые, здоровые, не увядшие, спелые,  без механических повреждений, без повреждений вредителями и болезнями, морозами, излишней внешней влажности, поверхность кожуры чистая от посторонних веществ(песка, земли, остатков листьев ), без побитостей, и/или крупных зарубцевавшихся трещин, с ровно срезанной у основания плода плодоножкой. Допускаются плоды с отпавшей, но не вырванной плодоножкой. </w:t>
            </w:r>
            <w:r w:rsidRPr="00301521">
              <w:rPr>
                <w:b/>
                <w:bCs/>
                <w:color w:val="000000"/>
                <w:sz w:val="20"/>
                <w:lang w:eastAsia="en-US"/>
              </w:rPr>
              <w:lastRenderedPageBreak/>
              <w:t>Окраска: от светло-желтой до оранжевой. Запах и вкус: свойственные свежим апельсинам,  без постороннего запаха и/или привкуса. Не допускается:  плоды зеленые, поврежденные и загнившие, заплесневевшие, давленые. Наличие сертификата соответствия, должны соответствовать действующему ГОСТу 4427-82.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1100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7</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Картофель</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01.13.51.120 (П)</w:t>
            </w:r>
          </w:p>
        </w:tc>
        <w:tc>
          <w:tcPr>
            <w:tcW w:w="5420" w:type="dxa"/>
            <w:vAlign w:val="center"/>
          </w:tcPr>
          <w:p w:rsidR="00AE5F7B" w:rsidRPr="00301521" w:rsidRDefault="00AE5F7B" w:rsidP="001C252E">
            <w:pPr>
              <w:spacing w:line="240" w:lineRule="auto"/>
              <w:rPr>
                <w:b/>
                <w:bCs/>
                <w:color w:val="000000"/>
                <w:sz w:val="20"/>
                <w:lang w:eastAsia="en-US"/>
              </w:rPr>
            </w:pPr>
            <w:r w:rsidRPr="00301521">
              <w:rPr>
                <w:b/>
                <w:bCs/>
                <w:color w:val="000000"/>
                <w:sz w:val="20"/>
              </w:rPr>
              <w:t>Внешний вид: Клубни должны быть целыми, сухими, без заболеваний, непроросшими, без повреждений морозами, излишней внешней влажности, поверхность кожуры чистая от посторонних веществ(песка, земли),могут быть однородными или разновидными по окраске. Размер клубней (по наибольшему поперечному диаметру) не менее 7см, Должен соответствовать действующему ГОСТу 7176-2017.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6A14B7" w:rsidP="001C252E">
            <w:pPr>
              <w:spacing w:line="240" w:lineRule="auto"/>
              <w:jc w:val="center"/>
              <w:rPr>
                <w:b/>
                <w:bCs/>
                <w:color w:val="000000"/>
                <w:sz w:val="20"/>
              </w:rPr>
            </w:pPr>
            <w:r>
              <w:rPr>
                <w:b/>
                <w:bCs/>
                <w:color w:val="000000"/>
                <w:sz w:val="20"/>
              </w:rPr>
              <w:t>3200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8</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Морковь</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01.13.41.110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32284-2013.</w:t>
            </w:r>
          </w:p>
          <w:p w:rsidR="00AE5F7B" w:rsidRPr="00301521" w:rsidRDefault="00AE5F7B" w:rsidP="001C252E">
            <w:pPr>
              <w:spacing w:line="240" w:lineRule="auto"/>
              <w:rPr>
                <w:b/>
                <w:bCs/>
                <w:color w:val="000000"/>
                <w:spacing w:val="2"/>
                <w:sz w:val="20"/>
                <w:shd w:val="clear" w:color="auto" w:fill="FFFFFF"/>
              </w:rPr>
            </w:pPr>
            <w:r w:rsidRPr="00301521">
              <w:rPr>
                <w:b/>
                <w:bCs/>
                <w:color w:val="000000"/>
                <w:sz w:val="20"/>
              </w:rPr>
              <w:t>Внешний вид -</w:t>
            </w:r>
            <w:r w:rsidRPr="00301521">
              <w:rPr>
                <w:b/>
                <w:bCs/>
                <w:color w:val="000000"/>
                <w:spacing w:val="2"/>
                <w:sz w:val="20"/>
                <w:shd w:val="clear" w:color="auto" w:fill="FFFFFF"/>
              </w:rPr>
              <w:t>Корнеплоды свежие, целые, здоровые, чистые, неувядшие, нетреснувшие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корнеплода. Допускаются корнеплоды с отклонениями по форме, но не уродливые.</w:t>
            </w:r>
          </w:p>
          <w:p w:rsidR="00AE5F7B" w:rsidRPr="00301521" w:rsidRDefault="00AE5F7B" w:rsidP="001C252E">
            <w:pPr>
              <w:spacing w:line="240" w:lineRule="auto"/>
              <w:rPr>
                <w:b/>
                <w:bCs/>
                <w:color w:val="000000"/>
                <w:sz w:val="20"/>
              </w:rPr>
            </w:pPr>
            <w:r w:rsidRPr="00301521">
              <w:rPr>
                <w:b/>
                <w:bCs/>
                <w:color w:val="000000"/>
                <w:spacing w:val="2"/>
                <w:sz w:val="20"/>
                <w:shd w:val="clear" w:color="auto" w:fill="FFFFFF"/>
              </w:rPr>
              <w:t>Допускаются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 не портящими внешний вид корнеплода, корнеплоды с поломанными осевыми корешками.</w:t>
            </w:r>
            <w:r w:rsidRPr="00301521">
              <w:rPr>
                <w:b/>
                <w:bCs/>
                <w:color w:val="000000"/>
                <w:sz w:val="20"/>
              </w:rPr>
              <w:t xml:space="preserve"> Размер корнеплодов по длине не менее 15 см и не более 25 см. </w:t>
            </w:r>
            <w:r w:rsidRPr="00301521">
              <w:rPr>
                <w:b/>
                <w:bCs/>
                <w:color w:val="000000"/>
                <w:spacing w:val="2"/>
                <w:sz w:val="20"/>
                <w:shd w:val="clear" w:color="auto" w:fill="FFFFFF"/>
              </w:rPr>
              <w:t>Запах и вкус. Свойственные данному ботаническому сорту, без постороннего запаха и привкуса.</w:t>
            </w:r>
            <w:r w:rsidRPr="00301521">
              <w:rPr>
                <w:b/>
                <w:bCs/>
                <w:color w:val="000000"/>
                <w:sz w:val="20"/>
              </w:rPr>
              <w:t xml:space="preserve">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1500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9</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Капуста</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01.13.12.120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Р 51809-2001.</w:t>
            </w:r>
          </w:p>
          <w:p w:rsidR="00AE5F7B" w:rsidRPr="00301521" w:rsidRDefault="00AE5F7B" w:rsidP="001C252E">
            <w:pPr>
              <w:spacing w:line="240" w:lineRule="auto"/>
              <w:rPr>
                <w:b/>
                <w:bCs/>
                <w:color w:val="000000"/>
                <w:sz w:val="20"/>
                <w:lang w:eastAsia="en-US"/>
              </w:rPr>
            </w:pPr>
            <w:r w:rsidRPr="00301521">
              <w:rPr>
                <w:b/>
                <w:bCs/>
                <w:color w:val="000000"/>
                <w:sz w:val="20"/>
              </w:rPr>
              <w:t xml:space="preserve">Капуста белокочанная, внешний вид - </w:t>
            </w:r>
            <w:r w:rsidRPr="00301521">
              <w:rPr>
                <w:b/>
                <w:bCs/>
                <w:color w:val="000000"/>
                <w:spacing w:val="2"/>
                <w:sz w:val="20"/>
                <w:shd w:val="clear" w:color="auto" w:fill="FFFFFF"/>
              </w:rPr>
              <w:t xml:space="preserve">Кочаны свежие, </w:t>
            </w:r>
            <w:r w:rsidRPr="00301521">
              <w:rPr>
                <w:b/>
                <w:bCs/>
                <w:color w:val="000000"/>
                <w:spacing w:val="2"/>
                <w:sz w:val="20"/>
                <w:shd w:val="clear" w:color="auto" w:fill="FFFFFF"/>
              </w:rPr>
              <w:lastRenderedPageBreak/>
              <w:t>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Запах и вкус свойственные данному ботаническому сорту, без постороннего запаха и привкуса.</w:t>
            </w:r>
            <w:r w:rsidRPr="00301521">
              <w:rPr>
                <w:b/>
                <w:bCs/>
                <w:color w:val="000000"/>
                <w:sz w:val="20"/>
              </w:rPr>
              <w:t xml:space="preserve"> Вес кочана не менее 1 кг.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12</w:t>
            </w:r>
            <w:r w:rsidR="00AE5F7B" w:rsidRPr="00E52481">
              <w:rPr>
                <w:b/>
                <w:bCs/>
                <w:color w:val="000000"/>
                <w:sz w:val="20"/>
              </w:rPr>
              <w:t>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10</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Лук</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01.13.43.110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34306-2017.</w:t>
            </w:r>
          </w:p>
          <w:p w:rsidR="00AE5F7B" w:rsidRPr="00301521" w:rsidRDefault="00AE5F7B" w:rsidP="001C252E">
            <w:pPr>
              <w:spacing w:line="240" w:lineRule="auto"/>
              <w:rPr>
                <w:b/>
                <w:bCs/>
                <w:color w:val="000000"/>
                <w:sz w:val="20"/>
              </w:rPr>
            </w:pPr>
            <w:r w:rsidRPr="00301521">
              <w:rPr>
                <w:b/>
                <w:bCs/>
                <w:color w:val="000000"/>
                <w:sz w:val="20"/>
              </w:rPr>
              <w:t xml:space="preserve">Внешний вид - </w:t>
            </w:r>
            <w:r w:rsidRPr="00301521">
              <w:rPr>
                <w:b/>
                <w:bCs/>
                <w:color w:val="000000"/>
                <w:spacing w:val="2"/>
                <w:sz w:val="20"/>
                <w:shd w:val="clear" w:color="auto" w:fill="FFFFFF"/>
              </w:rPr>
              <w:t xml:space="preserve">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w:t>
            </w:r>
            <w:r w:rsidRPr="00301521">
              <w:rPr>
                <w:b/>
                <w:bCs/>
                <w:color w:val="000000"/>
                <w:sz w:val="20"/>
              </w:rPr>
              <w:t>Размер луковиц(по наибольшему поперечному диаметру) не менее 6 см</w:t>
            </w:r>
            <w:r w:rsidRPr="00301521">
              <w:rPr>
                <w:b/>
                <w:bCs/>
                <w:color w:val="000000"/>
                <w:spacing w:val="2"/>
                <w:sz w:val="20"/>
                <w:shd w:val="clear" w:color="auto" w:fill="FFFFFF"/>
              </w:rPr>
              <w:t xml:space="preserve">, без излишней внешней влажности, без полого и жесткого донца. Запах и вкус характерные для ботанического сорта, без постороннего запаха и/или привкуса. </w:t>
            </w:r>
            <w:r w:rsidRPr="00301521">
              <w:rPr>
                <w:b/>
                <w:bCs/>
                <w:color w:val="000000"/>
                <w:sz w:val="20"/>
              </w:rPr>
              <w:t>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1200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11</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Чеснок</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01.13.42.000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В соответствии с действующим ГОСТ 33562-2015. Должен быть сухим, незагрязненным, не увядшим.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15</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12</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Свекла</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01.13.49.110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32285-2013.</w:t>
            </w:r>
          </w:p>
          <w:p w:rsidR="00AE5F7B" w:rsidRPr="00301521" w:rsidRDefault="00AE5F7B" w:rsidP="001C252E">
            <w:pPr>
              <w:spacing w:line="240" w:lineRule="auto"/>
              <w:rPr>
                <w:b/>
                <w:bCs/>
                <w:color w:val="000000"/>
                <w:sz w:val="20"/>
                <w:lang w:eastAsia="en-US"/>
              </w:rPr>
            </w:pPr>
            <w:r w:rsidRPr="00301521">
              <w:rPr>
                <w:b/>
                <w:bCs/>
                <w:color w:val="000000"/>
                <w:sz w:val="20"/>
              </w:rPr>
              <w:t xml:space="preserve">Внешний вид - </w:t>
            </w:r>
            <w:r w:rsidRPr="00301521">
              <w:rPr>
                <w:b/>
                <w:bCs/>
                <w:color w:val="000000"/>
                <w:spacing w:val="2"/>
                <w:sz w:val="20"/>
                <w:shd w:val="clear" w:color="auto" w:fill="FFFFFF"/>
              </w:rPr>
              <w:t xml:space="preserve">Корнеплоды свежие, целые, здоровые, чистые, без повреждений сельскохозяйственными вредителями, без излишней внешней влажности, нетреснувшие, типичной для ботанического сорта формы и окраски, с длиной оставшихся черешков не более 2,0 см или без них. Запах и вкус свойственные данному ботаническому сорту, без постороннего запаха и привкуса Размер корнеплодов по наибольшему поперечному диаметр не менее 6,0 и не более 12,0см. </w:t>
            </w:r>
            <w:r w:rsidRPr="00301521">
              <w:rPr>
                <w:b/>
                <w:bCs/>
                <w:color w:val="000000"/>
                <w:sz w:val="20"/>
              </w:rPr>
              <w:t xml:space="preserve">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w:t>
            </w:r>
            <w:r w:rsidRPr="00301521">
              <w:rPr>
                <w:b/>
                <w:bCs/>
                <w:color w:val="000000"/>
                <w:sz w:val="20"/>
              </w:rPr>
              <w:lastRenderedPageBreak/>
              <w:t>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AE5F7B" w:rsidP="003C6198">
            <w:pPr>
              <w:spacing w:line="240" w:lineRule="auto"/>
              <w:jc w:val="center"/>
              <w:rPr>
                <w:b/>
                <w:bCs/>
                <w:color w:val="000000"/>
                <w:sz w:val="20"/>
              </w:rPr>
            </w:pPr>
            <w:r w:rsidRPr="00E52481">
              <w:rPr>
                <w:b/>
                <w:bCs/>
                <w:color w:val="000000"/>
                <w:sz w:val="20"/>
              </w:rPr>
              <w:t>1</w:t>
            </w:r>
            <w:r w:rsidR="003C6198">
              <w:rPr>
                <w:b/>
                <w:bCs/>
                <w:color w:val="000000"/>
                <w:sz w:val="20"/>
              </w:rPr>
              <w:t>1</w:t>
            </w:r>
            <w:r w:rsidRPr="00E52481">
              <w:rPr>
                <w:b/>
                <w:bCs/>
                <w:color w:val="000000"/>
                <w:sz w:val="20"/>
              </w:rPr>
              <w:t>00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13</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Огурцы</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01.13.32.000 (О)</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33932-2016.</w:t>
            </w:r>
          </w:p>
          <w:p w:rsidR="00AE5F7B" w:rsidRPr="00301521" w:rsidRDefault="00AE5F7B" w:rsidP="001C252E">
            <w:pPr>
              <w:spacing w:line="240" w:lineRule="auto"/>
              <w:rPr>
                <w:b/>
                <w:bCs/>
                <w:color w:val="000000"/>
                <w:sz w:val="20"/>
                <w:lang w:eastAsia="en-US"/>
              </w:rPr>
            </w:pPr>
            <w:r w:rsidRPr="00301521">
              <w:rPr>
                <w:b/>
                <w:bCs/>
                <w:color w:val="000000"/>
                <w:sz w:val="20"/>
              </w:rPr>
              <w:t xml:space="preserve">Внешний вид - </w:t>
            </w:r>
            <w:r w:rsidRPr="00301521">
              <w:rPr>
                <w:b/>
                <w:bCs/>
                <w:color w:val="000000"/>
                <w:spacing w:val="2"/>
                <w:sz w:val="20"/>
                <w:shd w:val="clear" w:color="auto" w:fill="FFFFFF"/>
              </w:rPr>
              <w:t>Плоды свежие, целые, неуродливые, здоровые, незагрязненные, без механических повреждений, с плодоножкой и без плодоножки, с типичной для ботанического сорта формой и окраской. Внутреннее строение - Мякоть плотная, с недоразвитыми водянистыми, некожистыми семенами.</w:t>
            </w:r>
            <w:r w:rsidRPr="00301521">
              <w:rPr>
                <w:b/>
                <w:bCs/>
                <w:color w:val="000000"/>
                <w:sz w:val="20"/>
              </w:rPr>
              <w:t xml:space="preserve"> Плоды выровненные, средних размеров (100-150 г) без допустимых дефектов, хорошего товарного вида. </w:t>
            </w:r>
            <w:r w:rsidRPr="00301521">
              <w:rPr>
                <w:b/>
                <w:bCs/>
                <w:color w:val="000000"/>
                <w:spacing w:val="2"/>
                <w:sz w:val="20"/>
                <w:shd w:val="clear" w:color="auto" w:fill="FFFFFF"/>
              </w:rPr>
              <w:t>Вкус  и запах свойственные данному ботаническому сорту без постороннего запаха и вкуса.</w:t>
            </w:r>
            <w:r w:rsidRPr="00301521">
              <w:rPr>
                <w:b/>
                <w:bCs/>
                <w:color w:val="000000"/>
                <w:sz w:val="20"/>
              </w:rPr>
              <w:t xml:space="preserve">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2</w:t>
            </w:r>
            <w:r w:rsidR="00AE5F7B" w:rsidRPr="00E52481">
              <w:rPr>
                <w:b/>
                <w:bCs/>
                <w:color w:val="000000"/>
                <w:sz w:val="20"/>
              </w:rPr>
              <w:t>50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14</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Томаты</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01.13.34.000 (О)</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34298-2017.</w:t>
            </w:r>
          </w:p>
          <w:p w:rsidR="00AE5F7B" w:rsidRPr="00301521" w:rsidRDefault="00AE5F7B" w:rsidP="001C252E">
            <w:pPr>
              <w:spacing w:line="240" w:lineRule="auto"/>
              <w:rPr>
                <w:b/>
                <w:bCs/>
                <w:color w:val="000000"/>
                <w:sz w:val="20"/>
                <w:lang w:eastAsia="en-US"/>
              </w:rPr>
            </w:pPr>
            <w:r w:rsidRPr="00301521">
              <w:rPr>
                <w:b/>
                <w:bCs/>
                <w:color w:val="000000"/>
                <w:sz w:val="20"/>
              </w:rPr>
              <w:t xml:space="preserve">Внешний вид - </w:t>
            </w:r>
            <w:r w:rsidRPr="00301521">
              <w:rPr>
                <w:b/>
                <w:bCs/>
                <w:color w:val="000000"/>
                <w:spacing w:val="2"/>
                <w:sz w:val="20"/>
                <w:shd w:val="clear" w:color="auto" w:fill="FFFFFF"/>
              </w:rPr>
              <w:t>Плоды свежие, целые, чистые, здоровые, не поврежденные вредителями, плотные, неперезрелые, типичной для ботанического сорта формы, с плодоножкой и без плодоножки, без механических повреждений и солнечных ожогов.</w:t>
            </w:r>
            <w:r w:rsidRPr="00301521">
              <w:rPr>
                <w:b/>
                <w:bCs/>
                <w:color w:val="000000"/>
                <w:sz w:val="20"/>
              </w:rPr>
              <w:t xml:space="preserve"> Плоды  средних размеров (120-180 г). </w:t>
            </w:r>
            <w:r w:rsidRPr="00301521">
              <w:rPr>
                <w:b/>
                <w:bCs/>
                <w:color w:val="000000"/>
                <w:spacing w:val="2"/>
                <w:sz w:val="20"/>
                <w:shd w:val="clear" w:color="auto" w:fill="FFFFFF"/>
              </w:rPr>
              <w:t xml:space="preserve">Вкус и запах свойственные данному ботаническому сорту, без постороннего запаха и вкуса </w:t>
            </w:r>
            <w:r w:rsidRPr="00301521">
              <w:rPr>
                <w:b/>
                <w:bCs/>
                <w:color w:val="000000"/>
                <w:sz w:val="20"/>
              </w:rPr>
              <w:t>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2</w:t>
            </w:r>
            <w:r w:rsidR="00AE5F7B" w:rsidRPr="00E52481">
              <w:rPr>
                <w:b/>
                <w:bCs/>
                <w:color w:val="000000"/>
                <w:sz w:val="20"/>
              </w:rPr>
              <w:t>50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15</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Укроп</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01.13.19.000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 xml:space="preserve">Соответствует требованиям ГОСТ 32856-2014. Зелень свежая укроп. «Укроп свежий. Технические условия». Внешний вид - молодые растения с корешками или без корешков, свежие, здоровые, нежные, с зелеными непожелтевшими листьями, без цветочных зонтиков, незагрязненные, зелень должна быть без повреждений болезнями и/или вредителями, без излишней поверхностной влажности. Запах и вкус должны быть свойственные данному сорту, без постороннего запаха и/или привкуса. Цвет - зеленый, свойственный данному ботаническому сорту. Не допускается растение цветущее, засохшее, вялое, загнившее, с излишней внешней влажностью.  Длина растений от шейки корня до кончиков верхних листьев должна быть не более 250 мм. года.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w:t>
            </w:r>
            <w:r w:rsidRPr="00301521">
              <w:rPr>
                <w:b/>
                <w:bCs/>
                <w:color w:val="000000"/>
                <w:sz w:val="20"/>
              </w:rPr>
              <w:lastRenderedPageBreak/>
              <w:t>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50</w:t>
            </w:r>
          </w:p>
        </w:tc>
      </w:tr>
      <w:tr w:rsidR="00AE5F7B" w:rsidRPr="00277C1B"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16</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Лук зеленый</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01.13.19.000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Соответствие требованиям «ГОСТ 34214-2017. Межгосударственный стандарт. Лук свежий зеленый. Технические условия». Свежие плоды без гнили, пустот и порчи, сухие и без земли. Продукт произведен в соответствии с «ТР ТС 021/2011. Технический регламент Таможенного союза. О безопасности пищевой продукции». Остаточный срок годности – не менее 3 месяцев со дня поставки. 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277C1B" w:rsidRDefault="00AE5F7B" w:rsidP="001C252E">
            <w:pPr>
              <w:spacing w:line="240" w:lineRule="auto"/>
              <w:jc w:val="center"/>
              <w:rPr>
                <w:b/>
                <w:bCs/>
                <w:color w:val="000000"/>
                <w:sz w:val="20"/>
              </w:rPr>
            </w:pPr>
          </w:p>
          <w:p w:rsidR="00AE5F7B" w:rsidRPr="00277C1B" w:rsidRDefault="00AE5F7B" w:rsidP="001C252E">
            <w:pPr>
              <w:spacing w:line="240" w:lineRule="auto"/>
              <w:jc w:val="center"/>
              <w:rPr>
                <w:b/>
                <w:bCs/>
                <w:color w:val="000000"/>
                <w:sz w:val="20"/>
              </w:rPr>
            </w:pPr>
            <w:r w:rsidRPr="00277C1B">
              <w:rPr>
                <w:b/>
                <w:bCs/>
                <w:color w:val="000000"/>
                <w:sz w:val="20"/>
              </w:rPr>
              <w:t>50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17</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Петрушка</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01.13.19.000 (П)</w:t>
            </w:r>
          </w:p>
        </w:tc>
        <w:tc>
          <w:tcPr>
            <w:tcW w:w="5420" w:type="dxa"/>
            <w:vAlign w:val="center"/>
          </w:tcPr>
          <w:p w:rsidR="00AE5F7B" w:rsidRPr="00301521" w:rsidRDefault="00AE5F7B" w:rsidP="001C252E">
            <w:pPr>
              <w:spacing w:line="240" w:lineRule="auto"/>
              <w:rPr>
                <w:b/>
                <w:bCs/>
                <w:color w:val="000000"/>
                <w:sz w:val="20"/>
              </w:rPr>
            </w:pPr>
            <w:r w:rsidRPr="00301521">
              <w:rPr>
                <w:b/>
                <w:bCs/>
                <w:color w:val="000000"/>
                <w:sz w:val="20"/>
              </w:rPr>
              <w:t>Соответствует требованиям ГОСТ 34212-2017. Зелень свежая петрушка. «Петрушка свежая. Технические условия». Внешний вид - молодые растения с корешками или без корешков, свежие, здоровые, нежные, с зелеными непожелтевшими листьями, без цветочных зонтиков, незагрязненные, зелень должна быть без повреждений болезнями и/или вредителями, без излишней поверхностной влажности. Запах и вкус должны быть свойственные данному сорту, без постороннего запаха и/или привкуса. Цвет - зеленый, свойственный данному ботаническому сорту. Не допускается растение цветущее, засохшее, вялое, загнившее, с излишней внешней влажностью.  Длина растений от шейки корня до кончиков верхних листьев должна быть не более 250 мм.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50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18</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Изюм</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10.39.25.131 (П)</w:t>
            </w:r>
          </w:p>
        </w:tc>
        <w:tc>
          <w:tcPr>
            <w:tcW w:w="5420" w:type="dxa"/>
            <w:vAlign w:val="center"/>
          </w:tcPr>
          <w:p w:rsidR="00AE5F7B" w:rsidRPr="00301521" w:rsidRDefault="00AE5F7B" w:rsidP="001C252E">
            <w:pPr>
              <w:spacing w:line="240" w:lineRule="auto"/>
              <w:rPr>
                <w:b/>
                <w:bCs/>
                <w:color w:val="000000"/>
                <w:sz w:val="20"/>
                <w:lang w:eastAsia="en-US"/>
              </w:rPr>
            </w:pPr>
            <w:r w:rsidRPr="00301521">
              <w:rPr>
                <w:b/>
                <w:bCs/>
                <w:color w:val="000000"/>
                <w:sz w:val="20"/>
                <w:lang w:eastAsia="en-US"/>
              </w:rPr>
              <w:t>Сухофрукты изюм не менее высшего сорта, должен соответствовать ГОСТ 6882-88. Цвет: Светлый.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15</w:t>
            </w:r>
            <w:r w:rsidR="00AE5F7B" w:rsidRPr="00E52481">
              <w:rPr>
                <w:b/>
                <w:bCs/>
                <w:color w:val="000000"/>
                <w:sz w:val="20"/>
              </w:rPr>
              <w:t>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19</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Курага</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10.39.25.132 (П)</w:t>
            </w:r>
          </w:p>
        </w:tc>
        <w:tc>
          <w:tcPr>
            <w:tcW w:w="5420" w:type="dxa"/>
            <w:vAlign w:val="center"/>
          </w:tcPr>
          <w:p w:rsidR="00AE5F7B" w:rsidRPr="00301521" w:rsidRDefault="00AE5F7B" w:rsidP="001C252E">
            <w:pPr>
              <w:spacing w:line="240" w:lineRule="auto"/>
              <w:rPr>
                <w:b/>
                <w:bCs/>
                <w:color w:val="000000"/>
                <w:sz w:val="20"/>
                <w:lang w:eastAsia="en-US"/>
              </w:rPr>
            </w:pPr>
            <w:r w:rsidRPr="00301521">
              <w:rPr>
                <w:b/>
                <w:bCs/>
                <w:color w:val="000000"/>
                <w:sz w:val="20"/>
                <w:lang w:eastAsia="en-US"/>
              </w:rPr>
              <w:t>Сухофрукты курага не менее высшего сорта, должны соответствовать ГОСТ 32896-2014.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90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20</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Сухофрукты</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10.39.25.134 (П)</w:t>
            </w:r>
          </w:p>
        </w:tc>
        <w:tc>
          <w:tcPr>
            <w:tcW w:w="5420" w:type="dxa"/>
            <w:vAlign w:val="center"/>
          </w:tcPr>
          <w:p w:rsidR="00AE5F7B" w:rsidRPr="00301521" w:rsidRDefault="00AE5F7B" w:rsidP="001C252E">
            <w:pPr>
              <w:spacing w:line="240" w:lineRule="auto"/>
              <w:rPr>
                <w:b/>
                <w:bCs/>
                <w:color w:val="000000"/>
                <w:sz w:val="20"/>
                <w:lang w:eastAsia="en-US"/>
              </w:rPr>
            </w:pPr>
            <w:r w:rsidRPr="00301521">
              <w:rPr>
                <w:b/>
                <w:bCs/>
                <w:color w:val="000000"/>
                <w:sz w:val="20"/>
                <w:lang w:eastAsia="en-US"/>
              </w:rPr>
              <w:t xml:space="preserve">Сухофрукты (компотная смесь) не менее высшего сорта, должна соответствовать  ГОСТ 32896—2014. Должна иметь не менее 6-ти компонентов.  Остаточный срок годности на </w:t>
            </w:r>
            <w:r w:rsidRPr="00301521">
              <w:rPr>
                <w:b/>
                <w:bCs/>
                <w:color w:val="000000"/>
                <w:sz w:val="20"/>
                <w:lang w:eastAsia="en-US"/>
              </w:rPr>
              <w:lastRenderedPageBreak/>
              <w:t>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lastRenderedPageBreak/>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70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lastRenderedPageBreak/>
              <w:t>21</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Шиповник</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10.39.25.133 (П)</w:t>
            </w:r>
          </w:p>
        </w:tc>
        <w:tc>
          <w:tcPr>
            <w:tcW w:w="5420" w:type="dxa"/>
            <w:vAlign w:val="center"/>
          </w:tcPr>
          <w:p w:rsidR="00AE5F7B" w:rsidRPr="00301521" w:rsidRDefault="00AE5F7B" w:rsidP="001C252E">
            <w:pPr>
              <w:spacing w:line="240" w:lineRule="auto"/>
              <w:rPr>
                <w:b/>
                <w:bCs/>
                <w:color w:val="000000"/>
                <w:sz w:val="20"/>
                <w:lang w:eastAsia="en-US"/>
              </w:rPr>
            </w:pPr>
            <w:r w:rsidRPr="00301521">
              <w:rPr>
                <w:b/>
                <w:bCs/>
                <w:color w:val="000000"/>
                <w:sz w:val="20"/>
                <w:lang w:eastAsia="en-US"/>
              </w:rPr>
              <w:t>Сухофрукты шиповник не менее высшего сорта, должен соответствовать ГОСТ 1994-93.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90</w:t>
            </w:r>
          </w:p>
        </w:tc>
      </w:tr>
      <w:tr w:rsidR="00AE5F7B" w:rsidRPr="00301521" w:rsidTr="003C6198">
        <w:trPr>
          <w:jc w:val="center"/>
        </w:trPr>
        <w:tc>
          <w:tcPr>
            <w:tcW w:w="516" w:type="dxa"/>
            <w:vAlign w:val="center"/>
          </w:tcPr>
          <w:p w:rsidR="00AE5F7B" w:rsidRPr="00301521" w:rsidRDefault="00AE5F7B" w:rsidP="001C252E">
            <w:pPr>
              <w:spacing w:line="240" w:lineRule="auto"/>
              <w:rPr>
                <w:b/>
                <w:bCs/>
                <w:color w:val="000000"/>
                <w:sz w:val="20"/>
              </w:rPr>
            </w:pPr>
            <w:r w:rsidRPr="00301521">
              <w:rPr>
                <w:b/>
                <w:bCs/>
                <w:color w:val="000000"/>
                <w:sz w:val="20"/>
              </w:rPr>
              <w:t>22</w:t>
            </w:r>
          </w:p>
        </w:tc>
        <w:tc>
          <w:tcPr>
            <w:tcW w:w="1548" w:type="dxa"/>
            <w:vAlign w:val="center"/>
          </w:tcPr>
          <w:p w:rsidR="00AE5F7B" w:rsidRPr="00301521" w:rsidRDefault="00AE5F7B" w:rsidP="001C252E">
            <w:pPr>
              <w:spacing w:line="240" w:lineRule="auto"/>
              <w:rPr>
                <w:b/>
                <w:bCs/>
                <w:color w:val="000000"/>
                <w:sz w:val="20"/>
              </w:rPr>
            </w:pPr>
            <w:r w:rsidRPr="00301521">
              <w:rPr>
                <w:b/>
                <w:bCs/>
                <w:color w:val="000000"/>
                <w:sz w:val="20"/>
              </w:rPr>
              <w:t>Киви</w:t>
            </w:r>
          </w:p>
        </w:tc>
        <w:tc>
          <w:tcPr>
            <w:tcW w:w="1289" w:type="dxa"/>
            <w:vAlign w:val="center"/>
          </w:tcPr>
          <w:p w:rsidR="00AE5F7B" w:rsidRPr="00301521" w:rsidRDefault="00AE5F7B" w:rsidP="001C252E">
            <w:pPr>
              <w:spacing w:line="240" w:lineRule="auto"/>
              <w:rPr>
                <w:b/>
                <w:bCs/>
                <w:color w:val="000000"/>
                <w:sz w:val="20"/>
              </w:rPr>
            </w:pPr>
            <w:r w:rsidRPr="00301521">
              <w:rPr>
                <w:b/>
                <w:bCs/>
                <w:color w:val="000000"/>
                <w:sz w:val="20"/>
              </w:rPr>
              <w:t>01.25.11.000 (П)</w:t>
            </w:r>
          </w:p>
        </w:tc>
        <w:tc>
          <w:tcPr>
            <w:tcW w:w="5420" w:type="dxa"/>
            <w:vAlign w:val="center"/>
          </w:tcPr>
          <w:p w:rsidR="00AE5F7B" w:rsidRPr="00301521" w:rsidRDefault="00AE5F7B" w:rsidP="001C252E">
            <w:pPr>
              <w:spacing w:line="240" w:lineRule="auto"/>
              <w:rPr>
                <w:b/>
                <w:bCs/>
                <w:color w:val="000000"/>
                <w:sz w:val="20"/>
                <w:lang w:eastAsia="en-US"/>
              </w:rPr>
            </w:pPr>
            <w:r w:rsidRPr="00301521">
              <w:rPr>
                <w:rFonts w:eastAsia="Times New Roman"/>
                <w:b/>
                <w:bCs/>
                <w:color w:val="000000"/>
                <w:sz w:val="20"/>
              </w:rPr>
              <w:t xml:space="preserve">Киви свежий. Внешний вид: плоды 80-100 грамм, свежие, целые, чистые, здоровые, не увядшие, спелые,  без механических повреждений, без повреждений вредителями и болезнями, морозами, излишней внешней влажности, поверхность кожуры чистая от посторонних веществ(песка, земли, остатков листьев ),без стебля, не перезревшие, без повреждений насекомыми-вредителями и болезнями, без излишней внешней влажности, типичной для помологического сорта формы и окраски. Запах и вкус: свойственные свежим киви,  без постороннего запаха и/или привкуса. Внутреннее строение: мякоть твердая, сочная, упругая, без повреждений. Степень зрелости – </w:t>
            </w:r>
            <w:r w:rsidRPr="00301521">
              <w:rPr>
                <w:rFonts w:eastAsia="Times New Roman"/>
                <w:b/>
                <w:bCs/>
                <w:sz w:val="20"/>
              </w:rPr>
              <w:t>о</w:t>
            </w:r>
            <w:r w:rsidRPr="00301521">
              <w:rPr>
                <w:rFonts w:eastAsia="Times New Roman"/>
                <w:b/>
                <w:bCs/>
                <w:color w:val="000000"/>
                <w:sz w:val="20"/>
              </w:rPr>
              <w:t>днородная. Наличие сертификата соответствия, должны соответствовать действующему ГОСТу 31823-2012.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прослеживаемость. Остаточный срок годности на момент поставки – не менее 80% от общего срока годности указанного в маркировке и сопроводительных документах.</w:t>
            </w:r>
          </w:p>
        </w:tc>
        <w:tc>
          <w:tcPr>
            <w:tcW w:w="609" w:type="dxa"/>
            <w:vAlign w:val="center"/>
          </w:tcPr>
          <w:p w:rsidR="00AE5F7B" w:rsidRPr="00301521" w:rsidRDefault="00AE5F7B" w:rsidP="001C252E">
            <w:pPr>
              <w:spacing w:line="240" w:lineRule="auto"/>
              <w:jc w:val="center"/>
              <w:rPr>
                <w:b/>
                <w:bCs/>
                <w:color w:val="000000"/>
                <w:sz w:val="20"/>
              </w:rPr>
            </w:pPr>
            <w:r w:rsidRPr="00301521">
              <w:rPr>
                <w:b/>
                <w:bCs/>
                <w:color w:val="000000"/>
                <w:sz w:val="20"/>
              </w:rPr>
              <w:t>кг</w:t>
            </w:r>
          </w:p>
        </w:tc>
        <w:tc>
          <w:tcPr>
            <w:tcW w:w="677" w:type="dxa"/>
            <w:vAlign w:val="center"/>
          </w:tcPr>
          <w:p w:rsidR="00AE5F7B" w:rsidRPr="00E52481" w:rsidRDefault="003C6198" w:rsidP="001C252E">
            <w:pPr>
              <w:spacing w:line="240" w:lineRule="auto"/>
              <w:jc w:val="center"/>
              <w:rPr>
                <w:b/>
                <w:bCs/>
                <w:color w:val="000000"/>
                <w:sz w:val="20"/>
              </w:rPr>
            </w:pPr>
            <w:r>
              <w:rPr>
                <w:b/>
                <w:bCs/>
                <w:color w:val="000000"/>
                <w:sz w:val="20"/>
              </w:rPr>
              <w:t>6</w:t>
            </w:r>
            <w:r w:rsidR="00AE5F7B" w:rsidRPr="00E52481">
              <w:rPr>
                <w:b/>
                <w:bCs/>
                <w:color w:val="000000"/>
                <w:sz w:val="20"/>
              </w:rPr>
              <w:t>00</w:t>
            </w:r>
          </w:p>
        </w:tc>
      </w:tr>
      <w:tr w:rsidR="003C6198" w:rsidRPr="00301521" w:rsidTr="007A3CF4">
        <w:trPr>
          <w:jc w:val="center"/>
        </w:trPr>
        <w:tc>
          <w:tcPr>
            <w:tcW w:w="516" w:type="dxa"/>
            <w:vAlign w:val="center"/>
          </w:tcPr>
          <w:p w:rsidR="003C6198" w:rsidRPr="00301521" w:rsidRDefault="003C6198" w:rsidP="001C252E">
            <w:pPr>
              <w:spacing w:line="240" w:lineRule="auto"/>
              <w:rPr>
                <w:b/>
                <w:bCs/>
                <w:color w:val="000000"/>
                <w:sz w:val="20"/>
              </w:rPr>
            </w:pPr>
            <w:r>
              <w:rPr>
                <w:b/>
                <w:bCs/>
                <w:color w:val="000000"/>
                <w:sz w:val="20"/>
              </w:rPr>
              <w:t>23</w:t>
            </w:r>
          </w:p>
        </w:tc>
        <w:tc>
          <w:tcPr>
            <w:tcW w:w="1548" w:type="dxa"/>
            <w:vAlign w:val="center"/>
          </w:tcPr>
          <w:p w:rsidR="003C6198" w:rsidRPr="00301521" w:rsidRDefault="003C6198" w:rsidP="001C252E">
            <w:pPr>
              <w:spacing w:line="240" w:lineRule="auto"/>
              <w:rPr>
                <w:b/>
                <w:bCs/>
                <w:color w:val="000000"/>
                <w:sz w:val="20"/>
              </w:rPr>
            </w:pPr>
            <w:r>
              <w:rPr>
                <w:b/>
                <w:bCs/>
                <w:color w:val="000000"/>
                <w:sz w:val="20"/>
              </w:rPr>
              <w:t>Мандарины</w:t>
            </w:r>
          </w:p>
        </w:tc>
        <w:tc>
          <w:tcPr>
            <w:tcW w:w="1289" w:type="dxa"/>
            <w:vAlign w:val="center"/>
          </w:tcPr>
          <w:p w:rsidR="003C6198" w:rsidRPr="00E52481" w:rsidRDefault="003C6198" w:rsidP="001C252E">
            <w:pPr>
              <w:spacing w:line="240" w:lineRule="auto"/>
              <w:rPr>
                <w:b/>
                <w:bCs/>
                <w:color w:val="000000"/>
                <w:sz w:val="20"/>
              </w:rPr>
            </w:pPr>
            <w:r w:rsidRPr="00E52481">
              <w:rPr>
                <w:b/>
                <w:bCs/>
                <w:color w:val="000000"/>
                <w:sz w:val="20"/>
              </w:rPr>
              <w:t>01.23.14.000 (П)</w:t>
            </w:r>
          </w:p>
        </w:tc>
        <w:tc>
          <w:tcPr>
            <w:tcW w:w="5420" w:type="dxa"/>
            <w:vAlign w:val="center"/>
          </w:tcPr>
          <w:p w:rsidR="003C6198" w:rsidRPr="002D0A49" w:rsidRDefault="003C6198" w:rsidP="001C252E">
            <w:pPr>
              <w:suppressAutoHyphens/>
              <w:spacing w:line="240" w:lineRule="auto"/>
              <w:rPr>
                <w:rFonts w:eastAsia="Times New Roman"/>
                <w:b/>
                <w:bCs/>
                <w:color w:val="000000"/>
                <w:sz w:val="20"/>
                <w:lang w:eastAsia="ar-SA"/>
              </w:rPr>
            </w:pPr>
            <w:r w:rsidRPr="002D0A49">
              <w:rPr>
                <w:rFonts w:eastAsia="Times New Roman"/>
                <w:b/>
                <w:bCs/>
                <w:color w:val="000000"/>
                <w:sz w:val="20"/>
                <w:lang w:eastAsia="ar-SA"/>
              </w:rPr>
              <w:t>_</w:t>
            </w:r>
            <w:r w:rsidRPr="002D0A49">
              <w:rPr>
                <w:b/>
                <w:sz w:val="20"/>
                <w:lang w:eastAsia="en-US"/>
              </w:rPr>
              <w:t xml:space="preserve"> Должны соответствовать ГОСТ. Внешний вид должен быть: плоды свежие, целые, чистые, здоровые, не увядшие, спелые,  без механических повреждений, без повреждений вредителями и болезнями, морозами, излишней внешней влажности, поверхность кожуры чистая от посторонних веществ(песка, земли, остатков листьев ), без побитостей, и/или крупных зарубцевавшихся трещин, с ровно срезанной у основания плода плодоножкой. Допускаются плоды с отпавшей, но не вырванной плодоножкой. Окраска должна быть: от светло-желтой до оранжевой. Запах и вкус должен быть: свойственные свежим мандаринам,  без постороннего запаха и/или привкуса. Не допускается:  плоды зеленые, поврежденные и загнившие, заплесневевшие, давленые.  Остаточный срок годности на момент поставки – не менее 80% от общего срока годности указанного в маркировке и сопроводительных документах.</w:t>
            </w:r>
            <w:r w:rsidRPr="002D0A49">
              <w:rPr>
                <w:rFonts w:eastAsia="Times New Roman"/>
                <w:b/>
                <w:bCs/>
                <w:color w:val="000000"/>
                <w:sz w:val="20"/>
                <w:lang w:eastAsia="ar-SA"/>
              </w:rPr>
              <w:t>_____________________________________</w:t>
            </w:r>
          </w:p>
        </w:tc>
        <w:tc>
          <w:tcPr>
            <w:tcW w:w="609" w:type="dxa"/>
            <w:vAlign w:val="center"/>
          </w:tcPr>
          <w:p w:rsidR="003C6198" w:rsidRPr="00301521" w:rsidRDefault="003C6198" w:rsidP="001C252E">
            <w:pPr>
              <w:spacing w:line="240" w:lineRule="auto"/>
              <w:jc w:val="center"/>
              <w:rPr>
                <w:b/>
                <w:bCs/>
                <w:color w:val="000000"/>
                <w:sz w:val="20"/>
              </w:rPr>
            </w:pPr>
            <w:r>
              <w:rPr>
                <w:b/>
                <w:bCs/>
                <w:color w:val="000000"/>
                <w:sz w:val="20"/>
              </w:rPr>
              <w:t>кг</w:t>
            </w:r>
          </w:p>
        </w:tc>
        <w:tc>
          <w:tcPr>
            <w:tcW w:w="677" w:type="dxa"/>
            <w:vAlign w:val="center"/>
          </w:tcPr>
          <w:p w:rsidR="003C6198" w:rsidRPr="00E52481" w:rsidRDefault="003C6198" w:rsidP="003C6198">
            <w:pPr>
              <w:spacing w:line="240" w:lineRule="auto"/>
              <w:rPr>
                <w:b/>
                <w:bCs/>
                <w:color w:val="000000"/>
                <w:sz w:val="20"/>
                <w:lang w:val="en-US"/>
              </w:rPr>
            </w:pPr>
            <w:r>
              <w:rPr>
                <w:b/>
                <w:bCs/>
                <w:color w:val="000000"/>
                <w:sz w:val="20"/>
              </w:rPr>
              <w:t>1000</w:t>
            </w:r>
          </w:p>
        </w:tc>
      </w:tr>
      <w:tr w:rsidR="003C6198" w:rsidRPr="00301521" w:rsidTr="007A3CF4">
        <w:trPr>
          <w:jc w:val="center"/>
        </w:trPr>
        <w:tc>
          <w:tcPr>
            <w:tcW w:w="516" w:type="dxa"/>
            <w:vAlign w:val="center"/>
          </w:tcPr>
          <w:p w:rsidR="003C6198" w:rsidRPr="00301521" w:rsidRDefault="003C6198" w:rsidP="001C252E">
            <w:pPr>
              <w:spacing w:line="240" w:lineRule="auto"/>
              <w:rPr>
                <w:b/>
                <w:bCs/>
                <w:color w:val="000000"/>
                <w:sz w:val="20"/>
              </w:rPr>
            </w:pPr>
          </w:p>
        </w:tc>
        <w:tc>
          <w:tcPr>
            <w:tcW w:w="1548" w:type="dxa"/>
            <w:vAlign w:val="center"/>
          </w:tcPr>
          <w:p w:rsidR="003C6198" w:rsidRPr="00301521" w:rsidRDefault="003C6198" w:rsidP="001C252E">
            <w:pPr>
              <w:spacing w:line="240" w:lineRule="auto"/>
              <w:rPr>
                <w:b/>
                <w:bCs/>
                <w:color w:val="000000"/>
                <w:sz w:val="20"/>
              </w:rPr>
            </w:pPr>
          </w:p>
        </w:tc>
        <w:tc>
          <w:tcPr>
            <w:tcW w:w="1289" w:type="dxa"/>
            <w:vAlign w:val="center"/>
          </w:tcPr>
          <w:p w:rsidR="003C6198" w:rsidRPr="00E52481" w:rsidRDefault="003C6198" w:rsidP="001C252E">
            <w:pPr>
              <w:spacing w:line="240" w:lineRule="auto"/>
              <w:rPr>
                <w:b/>
                <w:bCs/>
                <w:color w:val="000000"/>
                <w:sz w:val="20"/>
              </w:rPr>
            </w:pPr>
          </w:p>
        </w:tc>
        <w:tc>
          <w:tcPr>
            <w:tcW w:w="5420" w:type="dxa"/>
            <w:vAlign w:val="center"/>
          </w:tcPr>
          <w:p w:rsidR="003C6198" w:rsidRPr="002D0A49" w:rsidRDefault="003C6198" w:rsidP="001C252E">
            <w:pPr>
              <w:suppressAutoHyphens/>
              <w:spacing w:line="240" w:lineRule="auto"/>
              <w:rPr>
                <w:rFonts w:eastAsia="Times New Roman"/>
                <w:b/>
                <w:bCs/>
                <w:color w:val="000000"/>
                <w:sz w:val="20"/>
                <w:lang w:eastAsia="ar-SA"/>
              </w:rPr>
            </w:pPr>
          </w:p>
        </w:tc>
        <w:tc>
          <w:tcPr>
            <w:tcW w:w="609" w:type="dxa"/>
            <w:vAlign w:val="center"/>
          </w:tcPr>
          <w:p w:rsidR="003C6198" w:rsidRPr="00301521" w:rsidRDefault="003C6198" w:rsidP="001C252E">
            <w:pPr>
              <w:spacing w:line="240" w:lineRule="auto"/>
              <w:jc w:val="center"/>
              <w:rPr>
                <w:b/>
                <w:bCs/>
                <w:color w:val="000000"/>
                <w:sz w:val="20"/>
              </w:rPr>
            </w:pPr>
          </w:p>
        </w:tc>
        <w:tc>
          <w:tcPr>
            <w:tcW w:w="677" w:type="dxa"/>
            <w:vAlign w:val="center"/>
          </w:tcPr>
          <w:p w:rsidR="003C6198" w:rsidRPr="00E52481" w:rsidRDefault="003C6198" w:rsidP="003C6198">
            <w:pPr>
              <w:spacing w:line="240" w:lineRule="auto"/>
              <w:rPr>
                <w:b/>
                <w:bCs/>
                <w:color w:val="000000"/>
                <w:sz w:val="20"/>
                <w:lang w:val="en-US"/>
              </w:rPr>
            </w:pPr>
          </w:p>
        </w:tc>
      </w:tr>
    </w:tbl>
    <w:p w:rsidR="00AE5F7B" w:rsidRDefault="00AE5F7B" w:rsidP="00AE5F7B">
      <w:pPr>
        <w:suppressAutoHyphens/>
        <w:spacing w:line="240" w:lineRule="auto"/>
        <w:jc w:val="right"/>
        <w:rPr>
          <w:rFonts w:eastAsia="Times New Roman"/>
          <w:b/>
          <w:bCs/>
          <w:sz w:val="24"/>
          <w:szCs w:val="24"/>
        </w:rPr>
      </w:pPr>
    </w:p>
    <w:p w:rsidR="00593DB8" w:rsidRDefault="00593DB8" w:rsidP="00AE5F7B"/>
    <w:sectPr w:rsidR="00593DB8" w:rsidSect="00D60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395C"/>
    <w:multiLevelType w:val="multilevel"/>
    <w:tmpl w:val="478A395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E5F7B"/>
    <w:rsid w:val="003C6198"/>
    <w:rsid w:val="00590608"/>
    <w:rsid w:val="00593DB8"/>
    <w:rsid w:val="006A14B7"/>
    <w:rsid w:val="00AE5F7B"/>
    <w:rsid w:val="00D60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9C"/>
  </w:style>
  <w:style w:type="paragraph" w:styleId="1">
    <w:name w:val="heading 1"/>
    <w:basedOn w:val="a"/>
    <w:next w:val="a"/>
    <w:link w:val="10"/>
    <w:uiPriority w:val="9"/>
    <w:qFormat/>
    <w:rsid w:val="00AE5F7B"/>
    <w:pPr>
      <w:keepNext/>
      <w:keepLines/>
      <w:tabs>
        <w:tab w:val="left" w:pos="1134"/>
      </w:tabs>
      <w:suppressAutoHyphens/>
      <w:spacing w:before="360" w:after="120" w:line="240" w:lineRule="auto"/>
      <w:ind w:left="1134" w:hanging="1134"/>
      <w:jc w:val="center"/>
      <w:outlineLvl w:val="0"/>
    </w:pPr>
    <w:rPr>
      <w:rFonts w:ascii="Arial" w:eastAsia="Times New Roman" w:hAnsi="Arial" w:cs="Times New Roman"/>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F7B"/>
    <w:rPr>
      <w:rFonts w:ascii="Arial" w:eastAsia="Times New Roman" w:hAnsi="Arial" w:cs="Times New Roman"/>
      <w:kern w:val="28"/>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3232</Words>
  <Characters>18426</Characters>
  <Application>Microsoft Office Word</Application>
  <DocSecurity>0</DocSecurity>
  <Lines>153</Lines>
  <Paragraphs>43</Paragraphs>
  <ScaleCrop>false</ScaleCrop>
  <Company>Reanimator Extreme Edition</Company>
  <LinksUpToDate>false</LinksUpToDate>
  <CharactersWithSpaces>21615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2025-08-18T06:10:00Z</dcterms:created>
  <dcterms:modified xsi:type="dcterms:W3CDTF">2025-10-23T09:26:00Z</dcterms:modified>
</cp:coreProperties>
</file>