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tabs>
          <w:tab w:val="left" w:pos="720" w:leader="none"/>
        </w:tabs>
        <w:rPr>
          <w:bCs/>
          <w:highlight w:val="white"/>
        </w:rPr>
        <w:outlineLvl w:val="0"/>
      </w:pPr>
      <w:r>
        <w:rPr>
          <w:b/>
          <w:bCs/>
          <w:highlight w:val="white"/>
        </w:rPr>
        <w:tab/>
        <w:t xml:space="preserve">Номер закупки № </w:t>
      </w:r>
      <w:r>
        <w:rPr>
          <w:b/>
          <w:bCs/>
          <w:highlight w:val="white"/>
        </w:rPr>
        <w:t xml:space="preserve">2025.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7</w:t>
      </w:r>
      <w:r>
        <w:rPr>
          <w:b/>
          <w:bCs/>
          <w:highlight w:val="white"/>
        </w:rPr>
        <w:t xml:space="preserve">396</w:t>
      </w:r>
      <w:r>
        <w:rPr>
          <w:b/>
          <w:bCs/>
          <w:highlight w:val="white"/>
        </w:rPr>
      </w:r>
      <w:r>
        <w:rPr>
          <w:bCs/>
          <w:highlight w:val="white"/>
        </w:rPr>
      </w:r>
    </w:p>
    <w:p>
      <w:pPr>
        <w:pStyle w:val="843"/>
        <w:numPr>
          <w:ilvl w:val="0"/>
          <w:numId w:val="0"/>
        </w:numPr>
        <w:jc w:val="right"/>
        <w:spacing w:line="480" w:lineRule="auto"/>
        <w:rPr>
          <w:b/>
          <w:sz w:val="28"/>
          <w:szCs w:val="28"/>
          <w:highlight w:val="white"/>
        </w:rPr>
        <w:outlineLvl w:val="0"/>
      </w:pPr>
      <w:r>
        <w:rPr>
          <w:bCs/>
          <w:highlight w:val="white"/>
        </w:rPr>
        <w:t xml:space="preserve">«УТВЕРЖДАЮ»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ГОСУДАРСТВЕННОЕ АВТОНОМНОЕ УЧРЕЖДЕНИЕ ЗДРАВООХРАНЕНИЯ "ОРЕНБУРГСКИЙ ОБЛАСТНОЙ КЛИНИЧЕСКИЙ НАРКОЛОГИЧЕСКИЙ ДИСПАНСЕР"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ДОКУМЕНТАЦИЯ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Аукцион в электронной форме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Объект закупки: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  <w:t xml:space="preserve">на поставку и установку двери металлической с доводчиком</w:t>
      </w:r>
      <w:r>
        <w:rPr>
          <w:b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3"/>
        <w:jc w:val="right"/>
      </w:pPr>
      <w:r/>
      <w:r/>
    </w:p>
    <w:p>
      <w:pPr>
        <w:pStyle w:val="843"/>
        <w:jc w:val="right"/>
      </w:pPr>
      <w:r/>
      <w:r/>
    </w:p>
    <w:p>
      <w:pPr>
        <w:pStyle w:val="843"/>
        <w:jc w:val="right"/>
      </w:pPr>
      <w:r/>
      <w:r/>
    </w:p>
    <w:p>
      <w:pPr>
        <w:pStyle w:val="843"/>
        <w:jc w:val="right"/>
        <w:widowControl w:val="off"/>
      </w:pPr>
      <w:r/>
      <w:r/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-284" w:right="0" w:firstLine="0"/>
        <w:jc w:val="both"/>
        <w:tabs>
          <w:tab w:val="left" w:pos="360" w:leader="none"/>
        </w:tabs>
        <w:rPr>
          <w:b/>
          <w:bCs/>
          <w:iCs/>
        </w:rPr>
      </w:pPr>
      <w:r/>
      <w:bookmarkStart w:id="0" w:name="_Ref119427269"/>
      <w:r>
        <w:rPr>
          <w:rFonts w:cs="Times New Roman"/>
        </w:rPr>
        <w:t xml:space="preserve">        </w:t>
      </w:r>
      <w:r>
        <w:rPr>
          <w:rFonts w:cs="Arial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bCs/>
          <w:iCs/>
        </w:rPr>
        <w:outlineLvl w:val="0"/>
      </w:pPr>
      <w:r>
        <w:rPr>
          <w:b/>
          <w:bCs/>
          <w:iCs/>
        </w:rPr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  <w:t xml:space="preserve">РАЗДЕЛ </w:t>
      </w:r>
      <w:r>
        <w:rPr>
          <w:b/>
          <w:iCs/>
          <w:lang w:val="en-US"/>
        </w:rPr>
        <w:t xml:space="preserve">I</w:t>
      </w:r>
      <w:r>
        <w:rPr>
          <w:b/>
          <w:iCs/>
        </w:rPr>
        <w:t xml:space="preserve">. </w:t>
      </w:r>
      <w:r>
        <w:rPr>
          <w:b/>
          <w:iCs/>
        </w:rPr>
      </w:r>
      <w:r>
        <w:rPr>
          <w:b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</w:r>
      <w:r>
        <w:rPr>
          <w:b/>
          <w:iCs/>
        </w:rPr>
      </w:r>
      <w:r>
        <w:rPr>
          <w:b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sz w:val="20"/>
        </w:rPr>
        <w:outlineLvl w:val="0"/>
      </w:pPr>
      <w:r>
        <w:t xml:space="preserve">ИНФОРМАЦИОННАЯ КАРТА</w:t>
      </w:r>
      <w:bookmarkEnd w:id="0"/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677"/>
        <w:gridCol w:w="6978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Наименование пункта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bCs/>
                <w:sz w:val="20"/>
              </w:rPr>
              <w:t xml:space="preserve">Информация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Наименование </w:t>
            </w:r>
            <w:r>
              <w:rPr>
                <w:rFonts w:eastAsia="Calibri"/>
                <w:highlight w:val="white"/>
              </w:rPr>
              <w:t xml:space="preserve">Заказчика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ГОСУДАРСТВЕННОЕ АВТОНОМНОЕ УЧРЕЖДЕНИЕ ЗДРАВООХРАНЕНИЯ "ОРЕНБУРГСКИЙ ОБЛАСТНОЙ КЛИНИЧЕСКИЙ НАРКОЛОГИЧЕСКИЙ ДИСПАНСЕР"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  <w:u w:val="single"/>
              </w:rPr>
              <w:t xml:space="preserve">Наименование</w:t>
            </w:r>
            <w:r>
              <w:rPr>
                <w:highlight w:val="white"/>
                <w:u w:val="single"/>
              </w:rPr>
              <w:t xml:space="preserve"> Организатора закупки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highlight w:val="white"/>
              </w:rPr>
              <w:t xml:space="preserve">Государственное казенное учреждение Оренбургской области               «Центр организации закупок»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  <w:t xml:space="preserve"> Оператора электронной торговой площадки</w:t>
            </w:r>
            <w:r>
              <w:rPr>
                <w:b/>
                <w:highlight w:val="white"/>
              </w:rPr>
              <w:t xml:space="preserve"> Адрес</w:t>
            </w:r>
            <w:r>
              <w:rPr>
                <w:highlight w:val="white"/>
              </w:rPr>
              <w:t xml:space="preserve"> электронной торговой площадки в сети «Интернет»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ЭТП Электронная Торговая Площадка Торги-Онлайн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https://etp.torgi-online.com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Количество </w:t>
            </w:r>
            <w: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</w:rPr>
              <w:t xml:space="preserve">В соответствии с Техническим заданием, прилагаемым к настоящей документации.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Место, условия и сроки (периоды) поставки</w:t>
            </w:r>
            <w:r>
              <w:rPr>
                <w:rFonts w:eastAsia="Calibri"/>
                <w:highlight w:val="white"/>
              </w:rPr>
              <w:t xml:space="preserve"> товара, выполнения работ, оказания услуг;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Место: </w:t>
            </w:r>
            <w:r>
              <w:rPr>
                <w:rFonts w:eastAsia="Calibri"/>
                <w:b/>
                <w:bCs/>
                <w:highlight w:val="white"/>
              </w:rPr>
              <w:t xml:space="preserve">460009 г. Оренбург, ул. Инструментальная, зд.2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Сроки: в соответствии с договором.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Условия: в соответствии с договором.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Начальная (максимальная) цена</w:t>
            </w:r>
            <w:r>
              <w:rPr>
                <w:rFonts w:eastAsia="Calibri"/>
                <w:highlight w:val="white"/>
              </w:rPr>
              <w:t xml:space="preserve"> договора (</w:t>
            </w:r>
            <w:r>
              <w:rPr>
                <w:rFonts w:eastAsia="Calibri"/>
                <w:highlight w:val="white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  <w:highlight w:val="white"/>
              </w:rPr>
              <w:t xml:space="preserve">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56 300,00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 руб.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whit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whit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</w:rPr>
              <w:t xml:space="preserve">Сведения о валюте</w:t>
            </w:r>
            <w:r>
              <w:t xml:space="preserve">, используемой для формирования цены договора и расчетов с поставщиками (исполнителями, подрядчиками).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Российский рубль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Форма, сроки и порядок оплаты</w:t>
            </w:r>
            <w:r>
              <w:rPr>
                <w:rFonts w:eastAsia="Calibri"/>
              </w:rPr>
              <w:t xml:space="preserve"> товара, работ,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В соответствии с проектом договора, прилагаемым к настоящей документации.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формирования цены</w:t>
            </w:r>
            <w:r>
              <w:rPr>
                <w:rFonts w:eastAsia="Calibri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</w:rPr>
              <w:t xml:space="preserve">В цену договора должны быть вк</w:t>
            </w:r>
            <w:r>
              <w:rPr>
                <w:rFonts w:eastAsia="Calibri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widowControl w:val="off"/>
              <w:rPr>
                <w:b/>
              </w:rPr>
            </w:pPr>
            <w:r>
              <w:rPr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Дата начала подачи: </w:t>
            </w:r>
            <w: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widowControl w:val="off"/>
              <w:rPr>
                <w:b/>
                <w:highlight w:val="white"/>
              </w:rPr>
            </w:pPr>
            <w:r>
              <w:rPr>
                <w:rFonts w:eastAsia="Calibri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систем</w:t>
            </w:r>
            <w:r>
              <w:rPr>
                <w:rFonts w:eastAsia="Calibri"/>
                <w:highlight w:val="white"/>
                <w:lang w:eastAsia="en-US"/>
              </w:rPr>
              <w:t xml:space="preserve">е и на ЭТП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Дата и время окончания подачи заявок: </w:t>
            </w:r>
            <w:r>
              <w:rPr>
                <w:b/>
                <w:highlight w:val="white"/>
              </w:rPr>
              <w:t xml:space="preserve">«09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Cs/>
              </w:rPr>
            </w:pPr>
            <w:r>
              <w:rPr>
                <w:b/>
              </w:rPr>
              <w:t xml:space="preserve">в 10  часов 00  минут (по местному времени).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43"/>
              <w:jc w:val="both"/>
              <w:widowControl w:val="off"/>
            </w:pPr>
            <w:r>
              <w:rPr>
                <w:bCs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вправе подать только одну заявку на участие в процедуре. 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/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Формы, порядок </w:t>
            </w:r>
            <w:r>
              <w:rPr>
                <w:rFonts w:eastAsia="Calibri"/>
                <w:highlight w:val="white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  <w:highlight w:val="white"/>
              </w:rPr>
              <w:t xml:space="preserve">разъяснений</w:t>
            </w:r>
            <w:r>
              <w:rPr>
                <w:rFonts w:eastAsia="Calibri"/>
                <w:highlight w:val="white"/>
              </w:rPr>
              <w:t xml:space="preserve"> положений   документации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  <w:highlight w:val="white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и время </w:t>
            </w:r>
            <w:r>
              <w:rPr>
                <w:rFonts w:eastAsia="Calibri"/>
                <w:bCs/>
                <w:highlight w:val="white"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«08</w:t>
            </w:r>
            <w:r>
              <w:rPr>
                <w:rFonts w:eastAsia="Calibri"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23 часов 59 минут (поместному времени)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12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Дата</w:t>
            </w:r>
            <w:r>
              <w:rPr>
                <w:rFonts w:eastAsia="Calibri"/>
                <w:b/>
              </w:rPr>
              <w:t xml:space="preserve"> окончания </w:t>
            </w:r>
            <w:r>
              <w:rPr>
                <w:rFonts w:eastAsia="Calibri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</w:rP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«11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Дата проведения </w:t>
            </w:r>
            <w:r>
              <w:rPr>
                <w:rFonts w:eastAsia="Calibri"/>
                <w:bCs/>
              </w:rPr>
              <w:t xml:space="preserve">аукциона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«</w:t>
            </w:r>
            <w:r>
              <w:rPr>
                <w:b/>
                <w:highlight w:val="white"/>
              </w:rPr>
              <w:t xml:space="preserve">14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Срок</w:t>
            </w:r>
            <w:r>
              <w:rPr>
                <w:rFonts w:eastAsia="Calibri"/>
                <w:bCs/>
              </w:rPr>
              <w:t xml:space="preserve"> направления оператором ЭТП вторых частей заявок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течение часа после размещения в ЕИС протокола сопоставления ценовых предложений.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</w:rPr>
              <w:t xml:space="preserve">Дата рассмотрения </w:t>
            </w:r>
            <w: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«16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Порядок </w:t>
            </w:r>
            <w:r>
              <w:rPr>
                <w:rFonts w:eastAsia="Calibri"/>
              </w:rPr>
              <w:t xml:space="preserve">подведения итогов аукциона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проведения аукциона, </w:t>
            </w:r>
            <w:r>
              <w:rPr>
                <w:rFonts w:eastAsia="Calibri"/>
                <w:bCs/>
              </w:rPr>
              <w:t xml:space="preserve">в том числе «шаг аукциона»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</w:pPr>
            <w:r>
              <w:rPr>
                <w:rFonts w:eastAsia="Calibri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/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Требования 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к участникам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Участником закупки яв</w:t>
            </w:r>
            <w:r>
              <w:rPr>
                <w:rFonts w:eastAsia="Calibri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</w:rPr>
              <w:t xml:space="preserve"> требования </w:t>
            </w:r>
            <w:r>
              <w:t xml:space="preserve">на дату подачи заявки на участие в закупке</w:t>
            </w:r>
            <w:r>
              <w:rPr>
                <w:rFonts w:eastAsia="Calibri"/>
              </w:rPr>
              <w:t xml:space="preserve">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Times New Roman"/>
                <w:lang w:eastAsia="zh-CN"/>
              </w:rPr>
            </w:pPr>
            <w: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</w:rPr>
            </w:pP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7)</w:t>
              <w:tab/>
              <w:t xml:space="preserve">У</w:t>
            </w:r>
            <w:r>
              <w:rPr>
                <w:rFonts w:eastAsia="Calibri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10)</w:t>
            </w:r>
            <w: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11)</w:t>
            </w:r>
            <w: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</w:rPr>
              <w:t xml:space="preserve">12) Дополнительные требования к участникам закупки: не установлены.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</w:rPr>
              <w:t xml:space="preserve">рекомендуемой </w:t>
            </w:r>
            <w:r>
              <w:rPr>
                <w:rFonts w:eastAsia="Calibri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</w:rPr>
            </w:r>
            <w:r>
              <w:rPr>
                <w:rFonts w:eastAsia="Calibri"/>
                <w:i/>
                <w:color w:val="000000"/>
              </w:rPr>
            </w:r>
          </w:p>
          <w:p>
            <w:pPr>
              <w:pStyle w:val="84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843"/>
              <w:jc w:val="both"/>
            </w:pP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Calibri"/>
                <w:color w:val="000000"/>
              </w:rPr>
              <w:t xml:space="preserve">Инструкция по заполнению заявки содержится в приложении № 1 к настоящей документации.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Требования к содержанию, форме, оформлению и составу заявки на участие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lang w:eastAsia="en-US"/>
              </w:rPr>
            </w:pPr>
            <w:r/>
            <w:bookmarkStart w:id="2" w:name="_Ref372619662"/>
            <w:r>
              <w:rPr>
                <w:rFonts w:eastAsia="Calibri"/>
                <w:color w:val="000000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683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lang w:eastAsia="en-US"/>
              </w:rPr>
              <w:t xml:space="preserve">настоящей документацией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lang w:eastAsia="zh-CN"/>
              </w:rPr>
              <w:t xml:space="preserve">.</w:t>
            </w:r>
            <w:r>
              <w:rPr>
                <w:rFonts w:eastAsia="Calibri"/>
                <w:bCs/>
                <w:lang w:eastAsia="zh-CN"/>
              </w:rPr>
            </w:r>
            <w:r>
              <w:rPr>
                <w:rFonts w:eastAsia="Calibri"/>
                <w:bCs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lang w:val="ru-RU"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lang w:val="ru-RU" w:eastAsia="zh-CN"/>
              </w:rPr>
            </w:r>
            <w:r>
              <w:rPr>
                <w:rFonts w:eastAsia="Calibri"/>
                <w:b/>
                <w:lang w:val="ru-RU" w:eastAsia="zh-CN"/>
              </w:rPr>
            </w:r>
          </w:p>
          <w:p>
            <w:pPr>
              <w:pStyle w:val="925"/>
              <w:numPr>
                <w:ilvl w:val="0"/>
                <w:numId w:val="5"/>
              </w:numPr>
              <w:jc w:val="both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925"/>
              <w:ind w:left="0" w:right="0" w:firstLine="0"/>
              <w:jc w:val="both"/>
              <w:tabs>
                <w:tab w:val="left" w:pos="2396" w:leader="none"/>
              </w:tabs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zh-CN"/>
              </w:rPr>
              <w:t xml:space="preserve">2) Вторую часть</w:t>
            </w:r>
            <w:r>
              <w:rPr>
                <w:rFonts w:eastAsia="Calibri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fldChar w:fldCharType="begin"/>
            </w:r>
            <w:r>
              <w:instrText xml:space="preserve"> HYPERLINK  \l "Par18"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подпунктом "е" подпункта 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"consultantplus://offline/ref=224DA882DFB7DD89826BF54A7706B6F19570CAFA77E2E597A5ED6C920BA39FCA69111143AEAA8C0E9A9992C08DF7D4E7A23EE05D5Di1C5F"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Кодексом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отсутствие у у</w:t>
            </w:r>
            <w:r>
              <w:rPr>
                <w:rFonts w:eastAsia="Calibri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"consultantplus://offline/ref=224DA882DFB7DD89826BF54A7706B6F19570CDFC77EEE597A5ED6C920BA39FCA69111145A6AC85519F8C839881F6CAF9A426FC5F5F16i1CBF"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"consultantplus://offline/ref=224DA882DFB7DD89826BF54A7706B6F19570CDFC77EEE597A5ED6C920BA39FCA69111147AEA883519F8C839881F6CAF9A426FC5F5F16i1CBF"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</w:t>
            </w:r>
            <w:r>
              <w:rPr>
                <w:rFonts w:eastAsia="Calibri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"consultantplus://offline/ref=224DA882DFB7DD89826BF54A7706B6F19570CEFF73E6E597A5ED6C920BA39FCA69111147AFA98F53CCD6939CC8A2C7E6A43EE25B41161A29i6C0F"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статьями 289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"consultantplus://offline/ref=224DA882DFB7DD89826BF54A7706B6F19570CEFF73E6E597A5ED6C920BA39FCA69111144AFAD83519F8C839881F6CAF9A426FC5F5F16i1CBF"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290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"consultantplus://offline/ref=224DA882DFB7DD89826BF54A7706B6F19570CEFF73E6E597A5ED6C920BA39FCA69111144AFAF85519F8C839881F6CAF9A426FC5F5F16i1CBF"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"consultantplus://offline/ref=224DA882DFB7DD89826BF54A7706B6F19570CEFF73E6E597A5ED6C920BA39FCA69111144AFA081519F8C839881F6CAF9A426FC5F5F16i1CBF"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291.1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"consultantplus://offline/ref=224DA882DFB7DD89826BF54A7706B6F19570CAFA77E2E597A5ED6C920BA39FCA69111144A9AA87519F8C839881F6CAF9A426FC5F5F16i1CBF"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статьей 19.28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/>
            <w:bookmarkEnd w:id="2"/>
            <w:r>
              <w:rPr>
                <w:rFonts w:eastAsia="Calibri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10) </w:t>
            </w:r>
            <w:r>
              <w:t xml:space="preserve">информация и документы,</w:t>
            </w:r>
            <w:r>
              <w:rPr>
                <w:rFonts w:eastAsia="Calibri"/>
              </w:rPr>
              <w:t xml:space="preserve"> которые подтверждают страну происхождения товара </w:t>
            </w:r>
            <w:r>
              <w:t xml:space="preserve">в случае, если в изве</w:t>
            </w:r>
            <w: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</w:t>
            </w:r>
            <w:r>
              <w:rPr>
                <w:rFonts w:eastAsia="Calibri"/>
                <w:lang w:eastAsia="zh-CN"/>
              </w:rPr>
              <w:t xml:space="preserve">Декларация, предусмотренная </w:t>
            </w:r>
            <w:r>
              <w:fldChar w:fldCharType="begin"/>
            </w:r>
            <w:r>
              <w:instrText xml:space="preserve"> HYPERLINK "consultantplus://offline/ref=B5199C083043C5A68AD2121A7B6DF8F9B6A4096697AC60CB4E484921E8ADDB178464FBD20F4C38B52AF81BBB05BA96868E5D314CB1s9n6F"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zh-CN"/>
              </w:rPr>
              <w:t xml:space="preserve">подпунктом 8</w:t>
            </w:r>
            <w:r>
              <w:fldChar w:fldCharType="end"/>
            </w:r>
            <w:r>
              <w:rPr>
                <w:rFonts w:eastAsia="Calibri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Перече</w:t>
            </w:r>
            <w:r>
              <w:rPr>
                <w:rFonts w:eastAsia="Calibri"/>
                <w:highlight w:val="white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highlight w:val="white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t xml:space="preserve">(с учетом п.10, п.13 </w:t>
            </w:r>
            <w:r>
              <w:rPr>
                <w:b/>
              </w:rPr>
              <w:t xml:space="preserve">Инструкции по заполнению заявки на участие в закупке</w:t>
            </w:r>
            <w:r>
              <w:t xml:space="preserve">  настоящей документации)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н</w:t>
            </w:r>
            <w: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наличие опыта выполнения работ или оказания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</w:rPr>
              <w:t xml:space="preserve"> в закупке, срок и порядок его предоставления участником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Размер обеспечения исполнения договора</w:t>
            </w:r>
            <w:r>
              <w:rPr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  <w:shd w:val="clear" w:color="auto" w:fill="ffffff"/>
              </w:rPr>
            </w:pPr>
            <w:r>
              <w:rPr>
                <w:b/>
                <w:highlight w:val="white"/>
              </w:rPr>
              <w:t xml:space="preserve">Размер обеспе</w:t>
            </w:r>
            <w:r>
              <w:rPr>
                <w:b/>
                <w:highlight w:val="white"/>
              </w:rPr>
              <w:t xml:space="preserve">чения: 5 </w:t>
            </w:r>
            <w:r>
              <w:rPr>
                <w:highlight w:val="white"/>
              </w:rPr>
              <w:t xml:space="preserve">% от</w:t>
            </w:r>
            <w:r>
              <w:rPr>
                <w:highlight w:val="white"/>
                <w:shd w:val="clear" w:color="auto" w:fill="ffffff"/>
              </w:rPr>
              <w:t xml:space="preserve"> начальной (максимальной) цены договора.</w:t>
            </w:r>
            <w:r>
              <w:rPr>
                <w:b/>
                <w:highlight w:val="white"/>
                <w:shd w:val="clear" w:color="auto" w:fill="ffffff"/>
              </w:rPr>
            </w:r>
            <w:r>
              <w:rPr>
                <w:b/>
                <w:highlight w:val="white"/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  <w:shd w:val="clear" w:color="auto" w:fill="ffffff"/>
              </w:rPr>
              <w:t xml:space="preserve">Сумма обеспечения</w:t>
            </w:r>
            <w:r>
              <w:rPr>
                <w:b/>
                <w:highlight w:val="white"/>
              </w:rPr>
              <w:t xml:space="preserve">:</w:t>
            </w:r>
            <w:r>
              <w:rPr>
                <w:b/>
                <w:highlight w:val="white"/>
              </w:rPr>
              <w:t xml:space="preserve">2 815,00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1.Основное обязательство 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 на поставку и установку двери металлической с доводчиком.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2. Срок исполнения обязательств: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  <w:t xml:space="preserve"> с момента заключения договора до 31 декабря 2025 года.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Обеспечение исполнения договора допускается следующими способами: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1.  Путем внесения денежных средств на расчетный счет, указанный в п.20 настоящей документации.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2.  Путем предоставления безотзывной банковской гарантии.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</w:rPr>
              <w:t xml:space="preserve">3. Путем предоставления независимой гарантии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</w:pPr>
            <w:r>
              <w:rPr>
                <w:highlight w:val="white"/>
                <w:shd w:val="clear" w:color="auto" w:fill="ffffff"/>
              </w:rPr>
              <w:t xml:space="preserve">Способ обеспечения исполнения договора определяется участ</w:t>
            </w:r>
            <w:r>
              <w:rPr>
                <w:highlight w:val="white"/>
                <w:shd w:val="clear" w:color="auto" w:fill="ffffff"/>
              </w:rPr>
              <w:t xml:space="preserve">ником закупки, с которым заключается договор, самостоятельно. Срок и порядок предоставления обеспечения исполнения договора - в течение пяти рабочих дней с момента опубликования протокола определения победителя закупки одновременно с подписанным договором.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shd w:val="clear" w:color="auto" w:fill="ffffff"/>
              </w:rPr>
              <w:t xml:space="preserve"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</w:t>
            </w:r>
            <w:r>
              <w:rPr>
                <w:highlight w:val="white"/>
                <w:shd w:val="clear" w:color="auto" w:fill="ffffff"/>
              </w:rPr>
              <w:t xml:space="preserve">ка, исполнителя) соответствующего требования и при условии надлежащего исполнения им всех обязательств по договору. Возврат банковской и независимой гарантии З</w:t>
            </w:r>
            <w:r>
              <w:rPr>
                <w:shd w:val="clear" w:color="auto" w:fill="ffffff"/>
              </w:rPr>
              <w:t xml:space="preserve">аказчиком предоставившему ее лицу или гаранту не осуществляется, взыскание по ней не производится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   Банковская гарантия, в</w:t>
            </w:r>
            <w:r>
              <w:t xml:space="preserve">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При этом банковская гарантия должна быть безотзывной и должна содержать: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а) условие об обязанности гаранта уплатить Заказчику (бенефициару) денежную сумму по банковской гарантии не позднее десяти рабочих дней со дня,</w:t>
            </w:r>
            <w:r>
              <w:t xml:space="preserve"> следующего за днем получения гарантом требования Заказчика (бенефициара), соответствующего условиям такой банковской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б)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документ, подтверждающий полномочия лица, подписавшего требование об осуществлении уплаты денежной </w:t>
            </w:r>
            <w:r>
              <w:t xml:space="preserve">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 в) указание на срок ее действия,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г) должна содержать обязанность гаранта об уплате Заказчику неустойки (пени) за каждый день просрочки в размере 0,1 процента денежной суммы, подлежащей у</w:t>
            </w:r>
            <w:r>
              <w:t xml:space="preserve">плате по такой банковской гарантии, в случае просрочки исполнения обязательств по банковской гарантии,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действия).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Банковская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Независимая гарантия, предоставляемая в качестве обеспечения исполнения договора должна соответствовать следующим требованиям: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1) независимая гарантия должна быть выдана гарантом, предусмотренным частью 1 статьи 45 Федерального закона № 44-ФЗ;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2) независимая гарантия не может быть отозвана выдавшим ее гарантом;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3) независимая гарантия должна содержать условие об обязанности гаранта уплатить Заказчику (бенефициару) денежную сумму по независимой гарантии не позднее десяти рабочих дней со дня, </w:t>
            </w:r>
            <w:r>
      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4) не</w:t>
            </w:r>
            <w:r>
              <w:t xml:space="preserve">зависимая гарантия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закупки, документацией о такой закупке срока исполнения основного обязательства;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5)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гарантией;</w:t>
            </w:r>
            <w:r/>
          </w:p>
          <w:p>
            <w:pPr>
              <w:pStyle w:val="843"/>
              <w:contextualSpacing/>
              <w:jc w:val="both"/>
              <w:spacing w:before="0" w:after="0"/>
            </w:pPr>
            <w:r>
              <w:t xml:space="preserve">6) должна содержать обязанность гаранта об уплате Заказчику неустойки (пени) за каждый день просрочки в размере 0,1 процента денежной суммы, подлежащей упл</w:t>
            </w:r>
            <w:r>
              <w:t xml:space="preserve">ате по такой независимой гарантии,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действия.</w:t>
            </w:r>
            <w:r/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993" w:leader="none"/>
              </w:tabs>
            </w:pPr>
            <w:r/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Применение антидемпинговых мер </w:t>
            </w:r>
            <w:r>
              <w:rPr>
                <w:lang w:eastAsia="zh-CN"/>
              </w:rPr>
              <w:t xml:space="preserve">(при наличии требования об обеспечении исполнения договора)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3)</w:t>
              <w:tab/>
              <w:t xml:space="preserve">К инф</w:t>
            </w:r>
            <w:r>
              <w:rPr>
                <w:b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</w:pPr>
            <w:r>
              <w:rPr>
                <w:b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</w:t>
            </w:r>
            <w:r>
              <w:rPr>
                <w:rFonts w:eastAsia="Calibri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Получатель: МИНИСТЕРСТВО ФИНАНСОВ ОРЕНБУРГСКОЙ ОБЛАСТИ (ГАУЗ "ООКНД", лицевой счет: 039090160)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Банк получателя: ОТДЕЛЕНИЕ ОРЕНБУРГ БАНКА РОССИИ//УФК по Оренбургской области г. Оренбург, БИК: 015354008, счет банка получателя: 40102810545370000045, расчетный счет: 03224643530000005300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ИНН/КПП: 5611020440/561101001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ОГРН: 1035607500620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925"/>
              <w:ind w:left="0" w:right="0" w:firstLine="0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ОКТМО: 53701000001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Сведения о праве Заказчика отказаться</w:t>
            </w:r>
            <w:r>
              <w:rPr>
                <w:lang w:eastAsia="zh-CN"/>
              </w:rPr>
              <w:t xml:space="preserve"> от проведения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fldChar w:fldCharType="begin"/>
            </w:r>
            <w:r>
              <w:instrText xml:space="preserve"> HYPERLINK "consultantplus://offline/ref=BEC4DD38C456FD53600624892A7ED1CAF1C29495884BF9B1114DFA0B47D8AD8A21C7AAEC92D689C5s4s0N"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непреодолимой силы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Сведения о </w:t>
            </w:r>
            <w:r>
              <w:t xml:space="preserve">запрете, ограничении </w:t>
            </w:r>
            <w:r>
              <w:rPr>
                <w:rFonts w:eastAsia="Calibri"/>
              </w:rPr>
              <w:t xml:space="preserve">закупок товаров</w:t>
            </w:r>
            <w:r>
              <w:t xml:space="preserve">, </w:t>
            </w:r>
            <w:r>
              <w:rPr>
                <w:rFonts w:eastAsia="Calibri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lang w:eastAsia="en-US"/>
              </w:rPr>
              <w:t xml:space="preserve">в разделе </w:t>
            </w:r>
            <w:r>
              <w:rPr>
                <w:rFonts w:eastAsia="Calibri"/>
                <w:lang w:val="en-US" w:eastAsia="en-US"/>
              </w:rPr>
              <w:t xml:space="preserve">V</w:t>
            </w:r>
            <w:r>
              <w:rPr>
                <w:rFonts w:eastAsia="Calibri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rPr>
                <w:i/>
                <w:sz w:val="20"/>
                <w:szCs w:val="20"/>
              </w:rPr>
            </w:pPr>
            <w: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</w:rPr>
              <w:t xml:space="preserve">ПП РФ № 1875</w:t>
            </w:r>
            <w: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</w:rPr>
              <w:t xml:space="preserve">:*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43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</w:rPr>
              <w:t xml:space="preserve">преимуществ</w:t>
            </w:r>
            <w:r>
              <w:rPr>
                <w:i/>
                <w:sz w:val="20"/>
                <w:szCs w:val="20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ind w:left="0" w:right="0" w:firstLine="56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center"/>
                  </w:pPr>
                  <w:r>
                    <w:rPr>
                      <w:b/>
                      <w:bCs/>
                    </w:rPr>
                    <w:t xml:space="preserve">Продукция,                     включенная                               в объект закупки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ПРОМЫШЛЕННЫЕ ТОВАРЫ из позиций 1–145 приложения № 1 к  ПП РФ № 1875      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926"/>
                    <w:ind w:left="0" w:right="0" w:firstLine="540"/>
                    <w:jc w:val="both"/>
                    <w:spacing w:before="0" w:after="0" w:line="288" w:lineRule="atLeast"/>
                    <w:rPr>
                      <w:b/>
                      <w:i/>
                    </w:rPr>
                  </w:pPr>
                  <w:r>
                    <w:rPr>
                      <w:b/>
                      <w:bCs/>
                    </w:rPr>
                    <w:t xml:space="preserve">- информацию о совокупном количестве баллов</w:t>
                  </w:r>
                  <w:r>
                    <w:t xml:space="preserve"> за выполнение (освоение) на территории Российско</w:t>
                  </w:r>
                  <w: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 xml:space="preserve">за исключением Российской Федерации: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  <w:p>
                  <w:pPr>
                    <w:pStyle w:val="843"/>
                    <w:ind w:left="0" w:right="0" w:firstLine="567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ПРОГРАММНОЕ ОБЕСПЕЧЕНИЕ (позиция146 перечня № 1)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"/document/99/1310667825/ZAP2C0K3FS/"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»–«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"/document/99/1310667825/ZAP1T6K3IA/"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ж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</w:pPr>
                  <w: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t xml:space="preserve"> для электронных вычислительных машин и баз данных ;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 стран ЕАЭС, не указанные в позициях 1–146 перечня № 1                        </w:t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товар, кроме стран ЕАЭС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товара, </w:t>
                  </w:r>
                  <w:r>
                    <w:rPr>
                      <w:i/>
                    </w:rPr>
                    <w:t xml:space="preserve">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i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rPr>
                      <w:i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</w:tbl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ind w:left="0" w:right="0" w:firstLine="567"/>
              <w:jc w:val="both"/>
              <w:tabs>
                <w:tab w:val="left" w:pos="1020" w:leader="none"/>
              </w:tabs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</w:t>
            </w:r>
            <w:r>
              <w:rPr>
                <w:b/>
                <w:color w:val="000000"/>
              </w:rPr>
              <w:t xml:space="preserve">устано</w:t>
            </w:r>
            <w:r>
              <w:rPr>
                <w:b/>
                <w:color w:val="000000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Продукция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ПРОМЫШЛЕННЫЕ ТОВАРЫ,                          В Т.Ч. РАДИЭЛЕКТРОННАЯ ПРОДУКЦИЯ  И МЕДИЦИНСКИЕ ИЗДЕЛИЯ 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>
                    <w:t xml:space="preserve">(товары из позиций 1–399 приложения № 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«в»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 п. 10 ПП РФ № 1875)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t xml:space="preserve">- </w:t>
                  </w:r>
                  <w:r>
                    <w:rPr>
                      <w:b/>
                      <w:bCs/>
                    </w:rPr>
                    <w:t xml:space="preserve">информацию об уровне радиоэлектронной продукции</w:t>
                  </w:r>
                  <w:r>
                    <w:t xml:space="preserve"> (для товара, являю</w:t>
                  </w:r>
                  <w: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-7" w:right="0" w:firstLine="574"/>
                    <w:jc w:val="both"/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- информацию об уровне радиоэлектронной продукции</w:t>
                  </w:r>
                  <w: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702"/>
                    <w:jc w:val="both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"/document/411197447/entry/2362"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позициях 362 - 399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fldChar w:fldCharType="begin"/>
                  </w:r>
                  <w:r>
                    <w:instrText xml:space="preserve"> HYPERLINK "https://1gzakaz.ru/" \l "/document/99/1310667825/ZAP2MRM3P3/"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«в» п. 10 ПП РФ № 1875</w:t>
                  </w:r>
                  <w:r>
                    <w:fldChar w:fldCharType="end"/>
                  </w:r>
                  <w:r>
                    <w:t xml:space="preserve">).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МЕДИЦИНСКИЕ ИЗДЕЛИЯ,                            указанные в позициях 400–432 приложения № 2 ПП РФ № 1875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pacing w:before="0" w:after="0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spacing w:before="280" w:after="280"/>
                  </w:pPr>
                  <w:r>
                    <w:t xml:space="preserve">- с</w:t>
                  </w:r>
                  <w:r>
                    <w:rPr>
                      <w:b/>
                    </w:rPr>
                    <w:t xml:space="preserve">ертификат о происхождении товара</w:t>
                  </w:r>
                  <w:r>
                    <w:t xml:space="preserve">, выданный уполномоченным органом (организацией) государства - </w:t>
                  </w:r>
                  <w: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/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t xml:space="preserve">- акт экспертизы Торгово-промышлен</w:t>
                  </w:r>
                  <w: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</w:pPr>
                  <w: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ЛЕКАРСТВЕННЫЕ ПРЕПАРАТЫ, указанные в позиции 433 приложения № 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702"/>
                    <w:jc w:val="both"/>
                    <w:spacing w:before="300" w:after="0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i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t xml:space="preserve">                            - </w:t>
                  </w: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b/>
                    </w:rPr>
                    <w:t xml:space="preserve">До внесения изменений в право Евразийского экономического союза,</w:t>
                  </w:r>
                  <w: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702"/>
                    <w:jc w:val="both"/>
                  </w:pPr>
                  <w: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</w:rPr>
                    <w:t xml:space="preserve">подпунктом «у» пункта 4 ПП РФ 1875</w:t>
                  </w:r>
                  <w: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 стран ЕАЭС, не указанные в позициях 1–433 приложения  № 2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товара, 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В отношении товаров, указанных в позициях 1 - 21, 30, 32, 45- 47, 49 - 52, 55 - 60, 62,</w:t>
                  </w:r>
                  <w: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/>
                </w:p>
              </w:tc>
            </w:tr>
          </w:tbl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outlineLvl w:val="2"/>
            </w:pPr>
            <w:r>
              <w:rPr>
                <w:b/>
                <w:i/>
              </w:rPr>
              <w:t xml:space="preserve">в) </w:t>
            </w:r>
            <w:r>
              <w:rPr>
                <w:b/>
                <w:bCs/>
                <w:color w:val="000000"/>
              </w:rPr>
              <w:t xml:space="preserve">в случае если в объект закупки включены товары,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i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не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№1875,              </w:t>
            </w:r>
            <w: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 1875                           </w:t>
            </w:r>
            <w:r>
              <w:rPr>
                <w:b/>
              </w:rPr>
              <w:t xml:space="preserve">- документы, предусмотренные в пп. а) и б) настоящего пункта;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843"/>
              <w:ind w:left="0" w:right="0" w:firstLine="540"/>
              <w:jc w:val="both"/>
              <w:spacing w:before="220" w:after="0"/>
              <w:shd w:val="clear" w:color="auto" w:fill="ffffff"/>
              <w:tabs>
                <w:tab w:val="left" w:pos="567" w:leader="none"/>
                <w:tab w:val="left" w:pos="4395" w:leader="none"/>
              </w:tabs>
              <w:rPr>
                <w:highlight w:val="yellow"/>
              </w:rPr>
            </w:pPr>
            <w: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bCs/>
              </w:rPr>
              <w:t xml:space="preserve">Дополнительные сведения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t xml:space="preserve">Не установлены.</w:t>
            </w:r>
            <w:r/>
          </w:p>
          <w:p>
            <w:pPr>
              <w:pStyle w:val="843"/>
            </w:pPr>
            <w:r/>
            <w:r/>
          </w:p>
        </w:tc>
      </w:tr>
    </w:tbl>
    <w:p>
      <w:pPr>
        <w:pStyle w:val="84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</w:t>
      </w:r>
      <w:r>
        <w:rPr>
          <w:rFonts w:eastAsia="Calibri"/>
          <w:b/>
          <w:lang w:eastAsia="en-US"/>
        </w:rPr>
        <w:t xml:space="preserve">ТЕХНИЧЕСКОЕ ЗАДАНИЕ 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spacing w:before="0" w:after="200" w:line="276" w:lineRule="auto"/>
        <w:tabs>
          <w:tab w:val="left" w:pos="4347" w:leader="none"/>
        </w:tabs>
        <w:rPr>
          <w:rFonts w:eastAsia="Calibri"/>
          <w:b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III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</w:pPr>
      <w:r>
        <w:rPr>
          <w:b/>
          <w:sz w:val="28"/>
          <w:szCs w:val="28"/>
        </w:rPr>
        <w:t xml:space="preserve">ПРОЕКТ ДОГОВОРА</w:t>
      </w:r>
      <w:r>
        <w:t xml:space="preserve"> прилагается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/>
      <w:r/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Сведения о </w:t>
      </w:r>
      <w:r>
        <w:rPr>
          <w:b/>
        </w:rPr>
        <w:t xml:space="preserve">запрете</w:t>
      </w:r>
      <w:r>
        <w:t xml:space="preserve">, </w:t>
      </w:r>
      <w:r>
        <w:rPr>
          <w:b/>
        </w:rPr>
        <w:t xml:space="preserve">ограничении</w:t>
      </w:r>
      <w:r>
        <w:t xml:space="preserve"> </w:t>
      </w:r>
      <w:r>
        <w:rPr>
          <w:rFonts w:eastAsia="Calibri"/>
        </w:rPr>
        <w:t xml:space="preserve">закупок товаров</w:t>
      </w:r>
      <w:r>
        <w:t xml:space="preserve">, </w:t>
      </w:r>
      <w:r>
        <w:rPr>
          <w:rFonts w:eastAsia="Calibri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</w:rPr>
        <w:t xml:space="preserve">преимуществе</w:t>
      </w:r>
      <w:r>
        <w:rPr>
          <w:rFonts w:eastAsia="Calibri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</w:rPr>
        <w:t xml:space="preserve">ПРИЛАГАЕТСЯ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3"/>
        <w:rPr>
          <w:rFonts w:eastAsia="Calibri"/>
          <w:sz w:val="16"/>
        </w:rPr>
      </w:pPr>
      <w:r>
        <w:rPr>
          <w:rFonts w:eastAsia="Calibri"/>
          <w:sz w:val="16"/>
        </w:rPr>
      </w:r>
      <w:r>
        <w:rPr>
          <w:rFonts w:eastAsia="Calibri"/>
          <w:sz w:val="16"/>
        </w:rPr>
      </w:r>
      <w:r>
        <w:rPr>
          <w:rFonts w:eastAsia="Calibri"/>
          <w:sz w:val="16"/>
        </w:rPr>
      </w:r>
    </w:p>
    <w:p>
      <w:pPr>
        <w:pStyle w:val="843"/>
        <w:ind w:left="34" w:right="0" w:firstLine="0"/>
        <w:jc w:val="right"/>
        <w:rPr>
          <w:b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Приложение №1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3"/>
        <w:numPr>
          <w:ilvl w:val="0"/>
          <w:numId w:val="0"/>
        </w:numPr>
        <w:jc w:val="right"/>
        <w:keepNext/>
        <w:rPr>
          <w:rFonts w:eastAsia="Calibri"/>
          <w:b/>
          <w:sz w:val="22"/>
          <w:szCs w:val="22"/>
          <w:lang w:eastAsia="en-US"/>
        </w:rPr>
        <w:outlineLvl w:val="1"/>
      </w:pPr>
      <w:r>
        <w:rPr>
          <w:b/>
          <w:sz w:val="20"/>
          <w:szCs w:val="20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rFonts w:eastAsia="Calibri"/>
          <w:b/>
          <w:i/>
          <w:sz w:val="32"/>
          <w:szCs w:val="32"/>
          <w:lang w:eastAsia="en-US"/>
        </w:rPr>
        <w:outlineLvl w:val="1"/>
      </w:pP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32"/>
          <w:szCs w:val="32"/>
        </w:rPr>
        <w:t xml:space="preserve">Первая часть заявки </w:t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</w:p>
    <w:p>
      <w:pPr>
        <w:pStyle w:val="843"/>
        <w:ind w:left="0" w:right="0" w:firstLine="720"/>
        <w:jc w:val="both"/>
      </w:pPr>
      <w: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/>
    </w:p>
    <w:p>
      <w:pPr>
        <w:pStyle w:val="843"/>
        <w:ind w:left="0" w:right="0" w:firstLine="720"/>
        <w:jc w:val="both"/>
      </w:pPr>
      <w:r/>
      <w:r/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Товарный знак товара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не подлежит обязательному заполнению в 1 части заявки)**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b/>
                <w:i/>
                <w:sz w:val="16"/>
                <w:szCs w:val="16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Конкретные показатели поставляемого товара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/>
          </w:p>
        </w:tc>
      </w:tr>
    </w:tbl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u w:val="single"/>
        </w:rPr>
        <w:t xml:space="preserve">поставляемых</w:t>
      </w:r>
      <w:r>
        <w:rPr>
          <w:bCs/>
          <w:i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</w:rPr>
        <w:t xml:space="preserve"> </w:t>
      </w:r>
      <w:r>
        <w:rPr>
          <w:i/>
        </w:rPr>
        <w:t xml:space="preserve">Предоставление сведений о характеристиках товаров и материалов, </w:t>
      </w:r>
      <w:r>
        <w:rPr>
          <w:i/>
          <w:u w:val="single"/>
        </w:rPr>
        <w:t xml:space="preserve">используемых</w:t>
      </w:r>
      <w:r>
        <w:rPr>
          <w:i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bCs/>
          <w:i/>
        </w:rPr>
      </w:pPr>
      <w:r>
        <w:rPr>
          <w:rFonts w:eastAsia="Calibri"/>
          <w:bCs/>
          <w:i/>
        </w:rPr>
        <w:t xml:space="preserve">В случае если в закупке на </w:t>
      </w:r>
      <w:r>
        <w:rPr>
          <w:bCs/>
          <w:i/>
        </w:rPr>
        <w:t xml:space="preserve">выполнение работ, оказание услуг поставка товара не осуществляется,</w:t>
      </w:r>
      <w:r>
        <w:rPr>
          <w:bCs/>
          <w:i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u w:val="single"/>
        </w:rPr>
        <w:t xml:space="preserve">по всем таким товарам</w:t>
      </w:r>
      <w:r>
        <w:rPr>
          <w:bCs/>
          <w:i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0" w:right="136" w:firstLine="0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  <w:t xml:space="preserve">Инструкция по заполнению заявки: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  <w:t xml:space="preserve">ВНИМАНИЕ УЧАСТНИКОВ ЗАКУПКИ!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both"/>
        <w:shd w:val="clear" w:color="auto" w:fill="ffffff"/>
        <w:rPr>
          <w:b/>
        </w:rPr>
      </w:pPr>
      <w:r>
        <w:rPr>
          <w:b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u w:val="single"/>
        </w:rPr>
      </w:pPr>
      <w:r>
        <w:rPr>
          <w:bCs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</w:rPr>
      </w:r>
      <w:r>
        <w:rPr>
          <w:bCs/>
        </w:rPr>
      </w:r>
    </w:p>
    <w:p>
      <w:pPr>
        <w:pStyle w:val="843"/>
        <w:ind w:left="708" w:right="136" w:firstLine="0"/>
        <w:jc w:val="both"/>
        <w:tabs>
          <w:tab w:val="left" w:pos="8931" w:leader="none"/>
        </w:tabs>
        <w:rPr>
          <w:bCs/>
        </w:rPr>
      </w:pPr>
      <w:r>
        <w:rPr>
          <w:bCs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u w:val="single"/>
        </w:rPr>
        <w:t xml:space="preserve">по всем таким товарам</w:t>
      </w:r>
      <w:r>
        <w:rPr>
          <w:bCs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</w:rPr>
      </w:r>
      <w:r>
        <w:rPr>
          <w:bCs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lang w:val="ru-RU"/>
        </w:rPr>
      </w:pPr>
      <w:r>
        <w:rPr>
          <w:bCs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lang w:val="ru-RU"/>
        </w:rPr>
        <w:t xml:space="preserve"> 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25"/>
        <w:ind w:left="710" w:right="136" w:firstLine="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lang w:val="ru-RU"/>
        </w:rPr>
        <w:t xml:space="preserve">Участник закупки </w:t>
      </w:r>
      <w:r>
        <w:t xml:space="preserve">вправе предост</w:t>
      </w:r>
      <w: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rFonts w:eastAsia="Calibri"/>
        </w:rPr>
      </w:pPr>
      <w:r>
        <w:rPr>
          <w:bCs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rFonts w:eastAsia="Calibri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</w:t>
      </w:r>
      <w:r>
        <w:rPr>
          <w:b/>
          <w:bCs/>
        </w:rPr>
        <w:t xml:space="preserve">страна происхождения</w:t>
      </w:r>
      <w:r>
        <w:rPr>
          <w:bCs/>
        </w:rPr>
        <w:t xml:space="preserve"> предлагаемого к поставке товара, указанная в соответствии с п. 22.1 раздела </w:t>
      </w:r>
      <w:r>
        <w:rPr>
          <w:bCs/>
          <w:lang w:val="en-US"/>
        </w:rPr>
        <w:t xml:space="preserve">I</w:t>
      </w:r>
      <w:r>
        <w:rPr>
          <w:bCs/>
        </w:rPr>
        <w:t xml:space="preserve"> настоящей документации в </w:t>
      </w:r>
      <w: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</w:rPr>
        <w:t xml:space="preserve"> отличается от страны происхождения пр</w:t>
      </w:r>
      <w:r>
        <w:rPr>
          <w:bCs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t xml:space="preserve">виде заявки на участие в закупке, формируемой с использованием электронной площадки.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 (и если в зак</w:t>
      </w:r>
      <w:r>
        <w:rPr>
          <w:bCs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техни</w:t>
      </w:r>
      <w:r>
        <w:rPr>
          <w:bCs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осуществления з</w:t>
      </w:r>
      <w:r>
        <w:rPr>
          <w:bCs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  <w:shd w:val="clear" w:color="auto" w:fill="auto"/>
        </w:rPr>
      </w:pPr>
      <w:r>
        <w:rPr>
          <w:bCs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shd w:val="clear" w:color="auto" w:fill="auto"/>
        </w:rPr>
      </w:r>
      <w:r>
        <w:rPr>
          <w:bCs/>
          <w:shd w:val="clear" w:color="auto" w:fill="auto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  <w:shd w:val="clear" w:color="auto" w:fill="auto"/>
        </w:rPr>
        <w:t xml:space="preserve">В случае закупки лек</w:t>
      </w:r>
      <w:r>
        <w:rPr>
          <w:bCs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п.16.1 документации о закупке установлено требование предост</w:t>
      </w:r>
      <w:r>
        <w:rPr>
          <w:bCs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</w:pPr>
      <w:r>
        <w:rPr>
          <w:bCs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/>
    </w:p>
    <w:p>
      <w:pPr>
        <w:pStyle w:val="843"/>
        <w:numPr>
          <w:ilvl w:val="0"/>
          <w:numId w:val="3"/>
        </w:numPr>
        <w:ind w:left="1070" w:right="100" w:hanging="360"/>
        <w:jc w:val="both"/>
      </w:pPr>
      <w: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t xml:space="preserve">в случае если данный документ указан в п.16.2 настоящей документации о закупке): </w:t>
      </w:r>
      <w:r/>
    </w:p>
    <w:p>
      <w:pPr>
        <w:pStyle w:val="843"/>
        <w:ind w:left="1070" w:right="100" w:firstLine="0"/>
        <w:jc w:val="both"/>
      </w:pPr>
      <w:r>
        <w:t xml:space="preserve">-копию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/>
    </w:p>
    <w:p>
      <w:pPr>
        <w:pStyle w:val="843"/>
        <w:ind w:left="1070" w:right="100" w:firstLine="0"/>
        <w:jc w:val="both"/>
      </w:pPr>
      <w:r>
        <w:t xml:space="preserve">- сведения о номере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 копию документа, выданн</w:t>
      </w:r>
      <w: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/>
    </w:p>
    <w:p>
      <w:pPr>
        <w:pStyle w:val="843"/>
        <w:ind w:left="1070" w:right="100" w:firstLine="0"/>
        <w:jc w:val="both"/>
        <w:spacing w:before="0" w:after="240"/>
      </w:pPr>
      <w:r>
        <w:t xml:space="preserve">-номер реестровой записи в Государственном реестре медицинских изделий.</w:t>
      </w:r>
      <w:r/>
    </w:p>
    <w:p>
      <w:pPr>
        <w:pStyle w:val="843"/>
        <w:ind w:left="1070" w:right="100" w:firstLine="0"/>
        <w:jc w:val="both"/>
        <w:spacing w:before="0" w:after="240"/>
        <w:rPr>
          <w:bCs/>
        </w:rPr>
      </w:pPr>
      <w: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</w:rPr>
      </w:r>
      <w:r>
        <w:rPr>
          <w:bCs/>
        </w:rPr>
      </w:r>
    </w:p>
    <w:p>
      <w:pPr>
        <w:pStyle w:val="843"/>
        <w:ind w:left="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0" w:right="136" w:firstLine="0"/>
        <w:jc w:val="both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lang w:eastAsia="en-US"/>
        </w:rPr>
      </w:pPr>
      <w:r>
        <w:rPr>
          <w:bCs/>
        </w:rPr>
        <w:tab/>
        <w:t xml:space="preserve">При несоблю</w:t>
      </w:r>
      <w:r>
        <w:rPr>
          <w:bCs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</w:pPr>
      <w:r>
        <w:rPr>
          <w:rFonts w:eastAsia="Calibri"/>
          <w:b/>
          <w:lang w:eastAsia="en-US"/>
        </w:rPr>
        <w:t xml:space="preserve">Форма декларации</w:t>
      </w:r>
      <w:r/>
    </w:p>
    <w:p>
      <w:pPr>
        <w:pStyle w:val="843"/>
        <w:jc w:val="center"/>
        <w:rPr>
          <w:b/>
        </w:rPr>
      </w:pPr>
      <w:r>
        <w:t xml:space="preserve">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  <w:t xml:space="preserve">Декларация о соответствии Участника закупки требованиям документации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numPr>
          <w:ilvl w:val="0"/>
          <w:numId w:val="0"/>
        </w:numPr>
        <w:ind w:left="0" w:right="0" w:firstLine="708"/>
        <w:jc w:val="both"/>
        <w:keepNext/>
        <w:rPr>
          <w:b/>
          <w:iCs/>
          <w:lang w:val="en-US"/>
        </w:rPr>
        <w:outlineLvl w:val="0"/>
      </w:pPr>
      <w:r>
        <w:rPr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</w:rPr>
        <w:t xml:space="preserve"> </w:t>
      </w:r>
      <w:r>
        <w:rPr>
          <w:iCs/>
          <w:lang w:val="en-US"/>
        </w:rPr>
        <w:t xml:space="preserve">I</w:t>
      </w:r>
      <w:r>
        <w:rPr>
          <w:b/>
          <w:iCs/>
        </w:rPr>
        <w:t xml:space="preserve"> </w:t>
      </w:r>
      <w:r>
        <w:rPr>
          <w:lang w:eastAsia="ar-SA"/>
        </w:rPr>
        <w:t xml:space="preserve">документации о закупке.  </w:t>
      </w:r>
      <w:r>
        <w:rPr>
          <w:b/>
          <w:iCs/>
          <w:lang w:val="en-US"/>
        </w:rPr>
      </w:r>
      <w:r>
        <w:rPr>
          <w:b/>
          <w:iCs/>
          <w:lang w:val="en-US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20603050405020304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67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66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3"/>
    <w:next w:val="843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3"/>
    <w:next w:val="84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3"/>
    <w:next w:val="84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3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3"/>
    <w:next w:val="843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3"/>
    <w:next w:val="843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3"/>
    <w:next w:val="843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3"/>
    <w:next w:val="843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3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3"/>
    <w:next w:val="843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3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3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3"/>
    <w:next w:val="843"/>
    <w:uiPriority w:val="99"/>
    <w:unhideWhenUsed/>
    <w:pPr>
      <w:spacing w:after="0" w:afterAutospacing="0"/>
    </w:pPr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default="1">
    <w:name w:val="Normal"/>
    <w:next w:val="843"/>
    <w:link w:val="84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4">
    <w:name w:val="Заголовок 1"/>
    <w:basedOn w:val="843"/>
    <w:next w:val="843"/>
    <w:link w:val="843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845">
    <w:name w:val="Заголовок 2"/>
    <w:basedOn w:val="843"/>
    <w:next w:val="921"/>
    <w:link w:val="843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846">
    <w:name w:val="Заголовок 3"/>
    <w:basedOn w:val="843"/>
    <w:next w:val="843"/>
    <w:link w:val="843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47">
    <w:name w:val="Заголовок 4"/>
    <w:basedOn w:val="843"/>
    <w:next w:val="843"/>
    <w:link w:val="843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848">
    <w:name w:val="WW8Num1z0"/>
    <w:next w:val="848"/>
    <w:link w:val="843"/>
    <w:rPr>
      <w:rFonts w:ascii="Symbol" w:hAnsi="Symbol" w:cs="Symbol"/>
    </w:rPr>
  </w:style>
  <w:style w:type="character" w:styleId="849">
    <w:name w:val="WW8Num3z0"/>
    <w:next w:val="849"/>
    <w:link w:val="843"/>
    <w:rPr>
      <w:b w:val="0"/>
    </w:rPr>
  </w:style>
  <w:style w:type="character" w:styleId="850">
    <w:name w:val="WW8Num3z2"/>
    <w:next w:val="850"/>
    <w:link w:val="843"/>
  </w:style>
  <w:style w:type="character" w:styleId="851">
    <w:name w:val="WW8Num4z0"/>
    <w:next w:val="851"/>
    <w:link w:val="843"/>
    <w:rPr>
      <w:rFonts w:ascii="Times New Roman" w:hAnsi="Times New Roman" w:cs="Times New Roman"/>
      <w:b w:val="0"/>
      <w:i w:val="0"/>
      <w:color w:val="ff0000"/>
      <w:sz w:val="24"/>
    </w:rPr>
  </w:style>
  <w:style w:type="character" w:styleId="852">
    <w:name w:val="WW8Num4z1"/>
    <w:next w:val="852"/>
    <w:link w:val="843"/>
  </w:style>
  <w:style w:type="character" w:styleId="853">
    <w:name w:val="WW8Num6z0"/>
    <w:next w:val="853"/>
    <w:link w:val="843"/>
  </w:style>
  <w:style w:type="character" w:styleId="854">
    <w:name w:val="WW8Num6z2"/>
    <w:next w:val="854"/>
    <w:link w:val="843"/>
    <w:rPr>
      <w:b w:val="0"/>
    </w:rPr>
  </w:style>
  <w:style w:type="character" w:styleId="855">
    <w:name w:val="WW8Num7z0"/>
    <w:next w:val="855"/>
    <w:link w:val="843"/>
    <w:rPr>
      <w:rFonts w:ascii="Times New Roman" w:hAnsi="Times New Roman" w:cs="Times New Roman"/>
    </w:rPr>
  </w:style>
  <w:style w:type="character" w:styleId="856">
    <w:name w:val="WW8Num7z1"/>
    <w:next w:val="856"/>
    <w:link w:val="843"/>
    <w:rPr>
      <w:rFonts w:cs="Times New Roman"/>
    </w:rPr>
  </w:style>
  <w:style w:type="character" w:styleId="857">
    <w:name w:val="WW8Num8z0"/>
    <w:next w:val="857"/>
    <w:link w:val="843"/>
    <w:rPr>
      <w:rFonts w:cs="Times New Roman"/>
      <w:b/>
      <w:i w:val="0"/>
      <w:color w:val="000000"/>
      <w:sz w:val="20"/>
      <w:szCs w:val="20"/>
    </w:rPr>
  </w:style>
  <w:style w:type="character" w:styleId="858">
    <w:name w:val="WW8Num8z1"/>
    <w:next w:val="858"/>
    <w:link w:val="843"/>
    <w:rPr>
      <w:rFonts w:cs="Times New Roman"/>
    </w:rPr>
  </w:style>
  <w:style w:type="character" w:styleId="859">
    <w:name w:val="WW8Num9z1"/>
    <w:next w:val="859"/>
    <w:link w:val="843"/>
    <w:rPr>
      <w:b w:val="0"/>
      <w:i w:val="0"/>
      <w:sz w:val="28"/>
      <w:szCs w:val="28"/>
    </w:rPr>
  </w:style>
  <w:style w:type="character" w:styleId="860">
    <w:name w:val="WW8Num9z2"/>
    <w:next w:val="860"/>
    <w:link w:val="843"/>
    <w:rPr>
      <w:rFonts w:ascii="Times New Roman" w:hAnsi="Times New Roman" w:cs="Times New Roman"/>
      <w:b w:val="0"/>
      <w:i w:val="0"/>
      <w:sz w:val="28"/>
      <w:szCs w:val="28"/>
    </w:rPr>
  </w:style>
  <w:style w:type="character" w:styleId="861">
    <w:name w:val="WW8Num9z3"/>
    <w:next w:val="861"/>
    <w:link w:val="843"/>
    <w:rPr>
      <w:sz w:val="28"/>
      <w:szCs w:val="28"/>
    </w:rPr>
  </w:style>
  <w:style w:type="character" w:styleId="862">
    <w:name w:val="WW8Num10z0"/>
    <w:next w:val="862"/>
    <w:link w:val="843"/>
    <w:rPr>
      <w:b/>
    </w:rPr>
  </w:style>
  <w:style w:type="character" w:styleId="863">
    <w:name w:val="WW8Num11z0"/>
    <w:next w:val="863"/>
    <w:link w:val="843"/>
    <w:rPr>
      <w:rFonts w:ascii="Times New Roman" w:hAnsi="Times New Roman" w:eastAsia="Times New Roman" w:cs="Times New Roman"/>
    </w:rPr>
  </w:style>
  <w:style w:type="character" w:styleId="864">
    <w:name w:val="WW8Num11z1"/>
    <w:next w:val="864"/>
    <w:link w:val="843"/>
    <w:rPr>
      <w:rFonts w:ascii="Courier New" w:hAnsi="Courier New" w:cs="Courier New"/>
    </w:rPr>
  </w:style>
  <w:style w:type="character" w:styleId="865">
    <w:name w:val="WW8Num11z2"/>
    <w:next w:val="865"/>
    <w:link w:val="843"/>
    <w:rPr>
      <w:rFonts w:ascii="Wingdings" w:hAnsi="Wingdings" w:cs="Wingdings"/>
    </w:rPr>
  </w:style>
  <w:style w:type="character" w:styleId="866">
    <w:name w:val="WW8Num11z3"/>
    <w:next w:val="866"/>
    <w:link w:val="843"/>
    <w:rPr>
      <w:rFonts w:ascii="Symbol" w:hAnsi="Symbol" w:cs="Symbol"/>
    </w:rPr>
  </w:style>
  <w:style w:type="character" w:styleId="867">
    <w:name w:val="WW8Num13z0"/>
    <w:next w:val="867"/>
    <w:link w:val="843"/>
    <w:rPr>
      <w:b/>
      <w:i w:val="0"/>
      <w:color w:val="000000"/>
    </w:rPr>
  </w:style>
  <w:style w:type="character" w:styleId="868">
    <w:name w:val="WW8Num14z0"/>
    <w:next w:val="868"/>
    <w:link w:val="843"/>
  </w:style>
  <w:style w:type="character" w:styleId="869">
    <w:name w:val="WW8Num16z0"/>
    <w:next w:val="869"/>
    <w:link w:val="843"/>
    <w:rPr>
      <w:b/>
      <w:sz w:val="24"/>
    </w:rPr>
  </w:style>
  <w:style w:type="character" w:styleId="870">
    <w:name w:val="WW8Num17z0"/>
    <w:next w:val="870"/>
    <w:link w:val="843"/>
  </w:style>
  <w:style w:type="character" w:styleId="871">
    <w:name w:val="WW8Num17z2"/>
    <w:next w:val="871"/>
    <w:link w:val="843"/>
    <w:rPr>
      <w:rFonts w:ascii="Times New Roman" w:hAnsi="Times New Roman" w:eastAsia="Times New Roman" w:cs="Times New Roman"/>
    </w:rPr>
  </w:style>
  <w:style w:type="character" w:styleId="872">
    <w:name w:val="WW8Num19z0"/>
    <w:next w:val="872"/>
    <w:link w:val="843"/>
    <w:rPr>
      <w:rFonts w:ascii="Times New Roman" w:hAnsi="Times New Roman" w:cs="Times New Roman"/>
      <w:b/>
      <w:sz w:val="22"/>
    </w:rPr>
  </w:style>
  <w:style w:type="character" w:styleId="873">
    <w:name w:val="WW8Num19z1"/>
    <w:next w:val="873"/>
    <w:link w:val="843"/>
  </w:style>
  <w:style w:type="character" w:styleId="874">
    <w:name w:val="WW8Num20z0"/>
    <w:next w:val="874"/>
    <w:link w:val="843"/>
    <w:rPr>
      <w:sz w:val="22"/>
    </w:rPr>
  </w:style>
  <w:style w:type="character" w:styleId="875">
    <w:name w:val="WW8Num21z0"/>
    <w:next w:val="875"/>
    <w:link w:val="843"/>
    <w:rPr>
      <w:b/>
    </w:rPr>
  </w:style>
  <w:style w:type="character" w:styleId="876">
    <w:name w:val="Основной шрифт абзаца"/>
    <w:next w:val="876"/>
    <w:link w:val="843"/>
  </w:style>
  <w:style w:type="character" w:styleId="877">
    <w:name w:val="Заголовок 1 Знак"/>
    <w:next w:val="877"/>
    <w:link w:val="843"/>
    <w:rPr>
      <w:rFonts w:ascii="Times New Roman" w:hAnsi="Times New Roman" w:eastAsia="Times New Roman" w:cs="Times New Roman"/>
      <w:iCs/>
      <w:sz w:val="24"/>
      <w:szCs w:val="24"/>
    </w:rPr>
  </w:style>
  <w:style w:type="character" w:styleId="878">
    <w:name w:val="Заголовок 2 Знак"/>
    <w:next w:val="878"/>
    <w:link w:val="843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879">
    <w:name w:val="Заголовок 3 Знак"/>
    <w:next w:val="879"/>
    <w:link w:val="843"/>
    <w:rPr>
      <w:rFonts w:ascii="Cambria" w:hAnsi="Cambria" w:eastAsia="Times New Roman" w:cs="Times New Roman"/>
      <w:b/>
      <w:bCs/>
      <w:sz w:val="26"/>
      <w:szCs w:val="26"/>
    </w:rPr>
  </w:style>
  <w:style w:type="character" w:styleId="880">
    <w:name w:val="Интернет-ссылка"/>
    <w:next w:val="880"/>
    <w:link w:val="843"/>
    <w:rPr>
      <w:color w:val="0000ff"/>
      <w:u w:val="single"/>
    </w:rPr>
  </w:style>
  <w:style w:type="character" w:styleId="881">
    <w:name w:val="Пункт Знак1"/>
    <w:next w:val="881"/>
    <w:link w:val="843"/>
    <w:rPr>
      <w:rFonts w:ascii="Times New Roman" w:hAnsi="Times New Roman" w:eastAsia="Times New Roman" w:cs="Times New Roman"/>
      <w:sz w:val="28"/>
      <w:szCs w:val="28"/>
    </w:rPr>
  </w:style>
  <w:style w:type="character" w:styleId="882">
    <w:name w:val="Абзац списка Знак"/>
    <w:next w:val="882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Обычный (веб) Знак"/>
    <w:next w:val="883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Основной текст с отступом 2 Знак"/>
    <w:next w:val="884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885">
    <w:name w:val="Основной текст с отступом 3 Знак"/>
    <w:next w:val="885"/>
    <w:rPr>
      <w:rFonts w:ascii="Times New Roman" w:hAnsi="Times New Roman" w:eastAsia="Times New Roman" w:cs="Times New Roman"/>
      <w:sz w:val="16"/>
      <w:szCs w:val="16"/>
    </w:rPr>
  </w:style>
  <w:style w:type="character" w:styleId="886">
    <w:name w:val="Основной текст Знак"/>
    <w:next w:val="886"/>
    <w:rPr>
      <w:rFonts w:ascii="Times New Roman" w:hAnsi="Times New Roman" w:eastAsia="Times New Roman" w:cs="Times New Roman"/>
      <w:sz w:val="24"/>
      <w:szCs w:val="24"/>
    </w:rPr>
  </w:style>
  <w:style w:type="character" w:styleId="887">
    <w:name w:val="Подподпункт Знак"/>
    <w:next w:val="887"/>
    <w:link w:val="843"/>
    <w:rPr>
      <w:rFonts w:ascii="Times New Roman" w:hAnsi="Times New Roman" w:eastAsia="Times New Roman" w:cs="Times New Roman"/>
      <w:bCs/>
    </w:rPr>
  </w:style>
  <w:style w:type="character" w:styleId="888">
    <w:name w:val="Ариал Знак1"/>
    <w:next w:val="888"/>
    <w:link w:val="843"/>
    <w:rPr>
      <w:rFonts w:ascii="Arial" w:hAnsi="Arial" w:eastAsia="Times New Roman" w:cs="Arial"/>
      <w:sz w:val="24"/>
      <w:szCs w:val="24"/>
    </w:rPr>
  </w:style>
  <w:style w:type="character" w:styleId="889">
    <w:name w:val="Ариал Таблица Знак"/>
    <w:next w:val="889"/>
    <w:link w:val="843"/>
    <w:rPr>
      <w:rFonts w:ascii="Arial" w:hAnsi="Arial" w:eastAsia="Times New Roman" w:cs="Arial"/>
      <w:sz w:val="24"/>
      <w:szCs w:val="20"/>
    </w:rPr>
  </w:style>
  <w:style w:type="character" w:styleId="890">
    <w:name w:val="ConsPlusNormal Знак"/>
    <w:next w:val="890"/>
    <w:link w:val="843"/>
    <w:rPr>
      <w:rFonts w:ascii="Arial" w:hAnsi="Arial" w:eastAsia="Times New Roman" w:cs="Arial"/>
      <w:lang w:bidi="ar-SA"/>
    </w:rPr>
  </w:style>
  <w:style w:type="character" w:styleId="891">
    <w:name w:val="Верхний колонтитул Знак"/>
    <w:next w:val="891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2">
    <w:name w:val="Стиль Знак"/>
    <w:next w:val="892"/>
    <w:link w:val="843"/>
    <w:rPr>
      <w:rFonts w:ascii="Times New Roman" w:hAnsi="Times New Roman" w:cs="Times New Roman"/>
      <w:b/>
      <w:lang w:val="ru-RU" w:bidi="ar-SA"/>
    </w:rPr>
  </w:style>
  <w:style w:type="character" w:styleId="893">
    <w:name w:val="databind"/>
    <w:next w:val="893"/>
    <w:link w:val="843"/>
    <w:rPr>
      <w:i/>
      <w:iCs/>
      <w:color w:val="777777"/>
    </w:rPr>
  </w:style>
  <w:style w:type="character" w:styleId="894">
    <w:name w:val="Нижний колонтитул Знак"/>
    <w:next w:val="894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5">
    <w:name w:val="Подзаголовок Знак"/>
    <w:next w:val="895"/>
    <w:link w:val="843"/>
    <w:rPr>
      <w:rFonts w:ascii="Arial" w:hAnsi="Arial" w:eastAsia="Times New Roman" w:cs="Arial"/>
      <w:sz w:val="24"/>
      <w:szCs w:val="24"/>
    </w:rPr>
  </w:style>
  <w:style w:type="character" w:styleId="896">
    <w:name w:val="apple-style-span"/>
    <w:next w:val="896"/>
    <w:link w:val="843"/>
  </w:style>
  <w:style w:type="character" w:styleId="897">
    <w:name w:val="Текст выноски Знак"/>
    <w:next w:val="897"/>
    <w:link w:val="843"/>
    <w:rPr>
      <w:rFonts w:ascii="Tahoma" w:hAnsi="Tahoma" w:eastAsia="Times New Roman" w:cs="Tahoma"/>
      <w:sz w:val="16"/>
      <w:szCs w:val="16"/>
    </w:rPr>
  </w:style>
  <w:style w:type="character" w:styleId="898">
    <w:name w:val="Текст Знак"/>
    <w:next w:val="898"/>
    <w:link w:val="843"/>
    <w:rPr>
      <w:rFonts w:ascii="Courier New" w:hAnsi="Courier New" w:eastAsia="Times New Roman" w:cs="Times New Roman"/>
      <w:sz w:val="20"/>
      <w:szCs w:val="20"/>
    </w:rPr>
  </w:style>
  <w:style w:type="character" w:styleId="899">
    <w:name w:val="Font Style24"/>
    <w:next w:val="899"/>
    <w:link w:val="843"/>
    <w:rPr>
      <w:rFonts w:ascii="Times New Roman" w:hAnsi="Times New Roman" w:cs="Times New Roman"/>
      <w:color w:val="000000"/>
      <w:sz w:val="20"/>
      <w:szCs w:val="20"/>
    </w:rPr>
  </w:style>
  <w:style w:type="character" w:styleId="900">
    <w:name w:val="txt-data-item1"/>
    <w:next w:val="900"/>
    <w:link w:val="843"/>
    <w:rPr>
      <w:strike w:val="0"/>
      <w:color w:val="222222"/>
      <w:u w:val="none"/>
    </w:rPr>
  </w:style>
  <w:style w:type="character" w:styleId="901">
    <w:name w:val="Font Style12"/>
    <w:next w:val="901"/>
    <w:link w:val="843"/>
    <w:rPr>
      <w:rFonts w:ascii="Times New Roman" w:hAnsi="Times New Roman" w:cs="Times New Roman"/>
      <w:b/>
      <w:bCs/>
      <w:sz w:val="26"/>
      <w:szCs w:val="26"/>
    </w:rPr>
  </w:style>
  <w:style w:type="character" w:styleId="902">
    <w:name w:val="Font Style13"/>
    <w:next w:val="902"/>
    <w:link w:val="843"/>
    <w:rPr>
      <w:rFonts w:ascii="Times New Roman" w:hAnsi="Times New Roman" w:cs="Times New Roman"/>
      <w:color w:val="000000"/>
      <w:sz w:val="22"/>
      <w:szCs w:val="22"/>
    </w:rPr>
  </w:style>
  <w:style w:type="character" w:styleId="903">
    <w:name w:val="Сильный акцент"/>
    <w:next w:val="903"/>
    <w:link w:val="843"/>
    <w:rPr>
      <w:b/>
      <w:bCs/>
    </w:rPr>
  </w:style>
  <w:style w:type="character" w:styleId="904">
    <w:name w:val="Акцент"/>
    <w:next w:val="904"/>
    <w:link w:val="843"/>
    <w:rPr>
      <w:i/>
      <w:iCs/>
    </w:rPr>
  </w:style>
  <w:style w:type="character" w:styleId="905">
    <w:name w:val="Знак примечания"/>
    <w:next w:val="905"/>
    <w:link w:val="843"/>
    <w:rPr>
      <w:sz w:val="16"/>
      <w:szCs w:val="16"/>
    </w:rPr>
  </w:style>
  <w:style w:type="character" w:styleId="906">
    <w:name w:val="Текст примечания Знак"/>
    <w:next w:val="906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07">
    <w:name w:val="Тема примечания Знак"/>
    <w:next w:val="907"/>
    <w:link w:val="84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08">
    <w:name w:val="Название Знак"/>
    <w:next w:val="908"/>
    <w:link w:val="843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909">
    <w:name w:val="Стиль (латиница) Arial 8 пт Синий"/>
    <w:next w:val="909"/>
    <w:link w:val="843"/>
    <w:rPr>
      <w:rFonts w:ascii="Times New Roman" w:hAnsi="Times New Roman" w:cs="Times New Roman"/>
      <w:color w:val="0000ff"/>
      <w:sz w:val="24"/>
    </w:rPr>
  </w:style>
  <w:style w:type="character" w:styleId="910">
    <w:name w:val="Основной текст с отступом Знак"/>
    <w:next w:val="910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911">
    <w:name w:val="Font Style15"/>
    <w:next w:val="911"/>
    <w:rPr>
      <w:rFonts w:ascii="Times New Roman" w:hAnsi="Times New Roman" w:cs="Times New Roman"/>
      <w:sz w:val="20"/>
      <w:szCs w:val="20"/>
    </w:rPr>
  </w:style>
  <w:style w:type="character" w:styleId="912">
    <w:name w:val="ty-product-feature__label"/>
    <w:basedOn w:val="876"/>
    <w:next w:val="912"/>
    <w:link w:val="843"/>
  </w:style>
  <w:style w:type="character" w:styleId="913">
    <w:name w:val="Текст сноски Знак"/>
    <w:next w:val="913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Символ сноски"/>
    <w:next w:val="914"/>
    <w:link w:val="843"/>
    <w:rPr>
      <w:vertAlign w:val="superscript"/>
    </w:rPr>
  </w:style>
  <w:style w:type="character" w:styleId="915">
    <w:name w:val="Заголовок 4 Знак"/>
    <w:next w:val="915"/>
    <w:link w:val="843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916">
    <w:name w:val="Заголовок"/>
    <w:basedOn w:val="843"/>
    <w:next w:val="843"/>
    <w:link w:val="843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917">
    <w:name w:val="Основной текст"/>
    <w:basedOn w:val="843"/>
    <w:next w:val="917"/>
    <w:link w:val="843"/>
    <w:pPr>
      <w:spacing w:before="0" w:after="120"/>
    </w:pPr>
    <w:rPr>
      <w:lang w:val="en-US"/>
    </w:rPr>
  </w:style>
  <w:style w:type="paragraph" w:styleId="918">
    <w:name w:val="Список"/>
    <w:basedOn w:val="917"/>
    <w:next w:val="918"/>
    <w:link w:val="843"/>
    <w:rPr>
      <w:rFonts w:ascii="PT Astra Serif" w:hAnsi="PT Astra Serif" w:cs="Noto Sans Devanagari"/>
    </w:rPr>
  </w:style>
  <w:style w:type="paragraph" w:styleId="919">
    <w:name w:val="Название"/>
    <w:basedOn w:val="843"/>
    <w:next w:val="919"/>
    <w:link w:val="84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843"/>
    <w:next w:val="920"/>
    <w:link w:val="843"/>
    <w:pPr>
      <w:suppressLineNumbers/>
    </w:pPr>
    <w:rPr>
      <w:rFonts w:ascii="PT Astra Serif" w:hAnsi="PT Astra Serif" w:cs="Noto Sans Devanagari"/>
    </w:rPr>
  </w:style>
  <w:style w:type="paragraph" w:styleId="921">
    <w:name w:val="Пункт-3"/>
    <w:basedOn w:val="843"/>
    <w:next w:val="921"/>
    <w:link w:val="843"/>
    <w:pPr>
      <w:ind w:left="1" w:right="0" w:firstLine="567"/>
      <w:jc w:val="both"/>
      <w:spacing w:line="288" w:lineRule="auto"/>
    </w:pPr>
  </w:style>
  <w:style w:type="paragraph" w:styleId="922">
    <w:name w:val="Оглавление 2"/>
    <w:basedOn w:val="843"/>
    <w:next w:val="843"/>
    <w:link w:val="843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923">
    <w:name w:val="Оглавление 1"/>
    <w:basedOn w:val="843"/>
    <w:next w:val="843"/>
    <w:link w:val="843"/>
    <w:pPr>
      <w:ind w:left="426" w:right="0" w:hanging="426"/>
    </w:pPr>
    <w:rPr>
      <w:b/>
      <w:szCs w:val="20"/>
    </w:rPr>
  </w:style>
  <w:style w:type="paragraph" w:styleId="924">
    <w:name w:val="Пункт"/>
    <w:basedOn w:val="843"/>
    <w:next w:val="924"/>
    <w:link w:val="843"/>
    <w:pPr>
      <w:jc w:val="both"/>
      <w:spacing w:line="360" w:lineRule="auto"/>
    </w:pPr>
    <w:rPr>
      <w:sz w:val="28"/>
      <w:szCs w:val="28"/>
      <w:lang w:val="en-US"/>
    </w:rPr>
  </w:style>
  <w:style w:type="paragraph" w:styleId="925">
    <w:name w:val="Абзац списка"/>
    <w:basedOn w:val="843"/>
    <w:next w:val="925"/>
    <w:link w:val="843"/>
    <w:pPr>
      <w:contextualSpacing/>
      <w:ind w:left="720" w:right="0" w:firstLine="0"/>
      <w:spacing w:before="0" w:after="0"/>
    </w:pPr>
    <w:rPr>
      <w:lang w:val="en-US"/>
    </w:rPr>
  </w:style>
  <w:style w:type="paragraph" w:styleId="926">
    <w:name w:val="Обычный (веб)"/>
    <w:basedOn w:val="843"/>
    <w:next w:val="926"/>
    <w:link w:val="843"/>
    <w:pPr>
      <w:spacing w:before="280" w:after="280"/>
    </w:pPr>
    <w:rPr>
      <w:lang w:val="en-US"/>
    </w:rPr>
  </w:style>
  <w:style w:type="paragraph" w:styleId="927">
    <w:name w:val="Продолжение списка"/>
    <w:basedOn w:val="843"/>
    <w:next w:val="927"/>
    <w:link w:val="843"/>
    <w:pPr>
      <w:ind w:left="283" w:right="0" w:firstLine="0"/>
      <w:spacing w:before="0" w:after="120"/>
    </w:pPr>
  </w:style>
  <w:style w:type="paragraph" w:styleId="928">
    <w:name w:val="Стиль5"/>
    <w:basedOn w:val="843"/>
    <w:next w:val="928"/>
    <w:link w:val="843"/>
    <w:pPr>
      <w:jc w:val="both"/>
      <w:spacing w:line="360" w:lineRule="auto"/>
    </w:pPr>
    <w:rPr>
      <w:bCs/>
      <w:sz w:val="22"/>
      <w:szCs w:val="22"/>
    </w:rPr>
  </w:style>
  <w:style w:type="paragraph" w:styleId="929">
    <w:name w:val="Пункт-4"/>
    <w:basedOn w:val="843"/>
    <w:next w:val="929"/>
    <w:link w:val="843"/>
    <w:pPr>
      <w:ind w:left="-283" w:right="0" w:firstLine="567"/>
      <w:jc w:val="both"/>
      <w:spacing w:line="288" w:lineRule="auto"/>
    </w:pPr>
    <w:rPr>
      <w:sz w:val="28"/>
    </w:rPr>
  </w:style>
  <w:style w:type="paragraph" w:styleId="930">
    <w:name w:val="Пункт-5"/>
    <w:basedOn w:val="843"/>
    <w:next w:val="930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1">
    <w:name w:val="Пункт-6"/>
    <w:basedOn w:val="843"/>
    <w:next w:val="931"/>
    <w:link w:val="843"/>
    <w:pPr>
      <w:ind w:left="568" w:right="0" w:firstLine="567"/>
      <w:jc w:val="both"/>
      <w:spacing w:line="288" w:lineRule="auto"/>
    </w:pPr>
    <w:rPr>
      <w:sz w:val="28"/>
    </w:rPr>
  </w:style>
  <w:style w:type="paragraph" w:styleId="932">
    <w:name w:val="Пункт-7"/>
    <w:basedOn w:val="843"/>
    <w:next w:val="932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3">
    <w:name w:val="Основной текст с отступом 2"/>
    <w:basedOn w:val="843"/>
    <w:next w:val="933"/>
    <w:link w:val="843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934">
    <w:name w:val="3"/>
    <w:basedOn w:val="843"/>
    <w:next w:val="934"/>
    <w:link w:val="843"/>
    <w:pPr>
      <w:jc w:val="both"/>
    </w:pPr>
  </w:style>
  <w:style w:type="paragraph" w:styleId="935">
    <w:name w:val="02statia2"/>
    <w:basedOn w:val="843"/>
    <w:next w:val="935"/>
    <w:link w:val="843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936">
    <w:name w:val="Основной текст с отступом 3"/>
    <w:basedOn w:val="843"/>
    <w:next w:val="936"/>
    <w:link w:val="84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937">
    <w:name w:val="Оглавление 3"/>
    <w:basedOn w:val="843"/>
    <w:next w:val="843"/>
    <w:link w:val="843"/>
    <w:pPr>
      <w:ind w:left="480" w:right="0" w:firstLine="0"/>
      <w:spacing w:before="0" w:after="100"/>
    </w:pPr>
  </w:style>
  <w:style w:type="paragraph" w:styleId="938">
    <w:name w:val="Таблица шапка"/>
    <w:basedOn w:val="843"/>
    <w:next w:val="938"/>
    <w:link w:val="843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939">
    <w:name w:val="Таблица текст"/>
    <w:basedOn w:val="843"/>
    <w:next w:val="939"/>
    <w:link w:val="843"/>
    <w:pPr>
      <w:ind w:left="57" w:right="57" w:firstLine="0"/>
      <w:spacing w:before="40" w:after="40"/>
    </w:pPr>
    <w:rPr>
      <w:szCs w:val="20"/>
    </w:rPr>
  </w:style>
  <w:style w:type="paragraph" w:styleId="940">
    <w:name w:val="Times 12"/>
    <w:basedOn w:val="843"/>
    <w:next w:val="940"/>
    <w:link w:val="843"/>
    <w:pPr>
      <w:ind w:left="0" w:right="0" w:firstLine="567"/>
      <w:jc w:val="both"/>
    </w:pPr>
    <w:rPr>
      <w:bCs/>
      <w:szCs w:val="22"/>
    </w:rPr>
  </w:style>
  <w:style w:type="paragraph" w:styleId="941">
    <w:name w:val="Подподпункт"/>
    <w:basedOn w:val="843"/>
    <w:next w:val="941"/>
    <w:link w:val="843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942">
    <w:name w:val="Ариал"/>
    <w:basedOn w:val="843"/>
    <w:next w:val="942"/>
    <w:link w:val="843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943">
    <w:name w:val="Пункт б/н"/>
    <w:basedOn w:val="843"/>
    <w:next w:val="943"/>
    <w:link w:val="843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944">
    <w:name w:val="Ариал Таблица"/>
    <w:basedOn w:val="942"/>
    <w:next w:val="944"/>
    <w:link w:val="843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945">
    <w:name w:val="Стиль3 Знак"/>
    <w:basedOn w:val="933"/>
    <w:next w:val="945"/>
    <w:link w:val="843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946">
    <w:name w:val="ConsPlusNormal"/>
    <w:next w:val="946"/>
    <w:link w:val="843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47">
    <w:name w:val="Колонтитул"/>
    <w:basedOn w:val="843"/>
    <w:next w:val="947"/>
    <w:pPr>
      <w:tabs>
        <w:tab w:val="center" w:pos="4819" w:leader="none"/>
        <w:tab w:val="right" w:pos="9638" w:leader="none"/>
      </w:tabs>
      <w:suppressLineNumbers/>
    </w:pPr>
  </w:style>
  <w:style w:type="paragraph" w:styleId="948">
    <w:name w:val="Верхний колонтитул"/>
    <w:basedOn w:val="843"/>
    <w:next w:val="948"/>
    <w:link w:val="843"/>
    <w:pPr>
      <w:spacing w:before="0" w:after="32"/>
    </w:pPr>
    <w:rPr>
      <w:lang w:val="en-US"/>
    </w:rPr>
  </w:style>
  <w:style w:type="paragraph" w:styleId="949">
    <w:name w:val="Стиль"/>
    <w:next w:val="949"/>
    <w:link w:val="843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950">
    <w:name w:val="paragraph"/>
    <w:basedOn w:val="843"/>
    <w:next w:val="950"/>
    <w:link w:val="843"/>
    <w:pPr>
      <w:ind w:left="0" w:right="0" w:firstLine="567"/>
    </w:pPr>
  </w:style>
  <w:style w:type="paragraph" w:styleId="951">
    <w:name w:val="Нижний колонтитул"/>
    <w:basedOn w:val="843"/>
    <w:next w:val="951"/>
    <w:link w:val="843"/>
    <w:rPr>
      <w:lang w:val="en-US"/>
    </w:rPr>
  </w:style>
  <w:style w:type="paragraph" w:styleId="952">
    <w:name w:val="Подзаголовок"/>
    <w:basedOn w:val="843"/>
    <w:next w:val="917"/>
    <w:link w:val="843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953">
    <w:name w:val="Без интервала"/>
    <w:next w:val="953"/>
    <w:link w:val="843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954">
    <w:name w:val="Текст выноски"/>
    <w:basedOn w:val="843"/>
    <w:next w:val="954"/>
    <w:link w:val="843"/>
    <w:rPr>
      <w:rFonts w:ascii="Tahoma" w:hAnsi="Tahoma" w:cs="Tahoma"/>
      <w:sz w:val="16"/>
      <w:szCs w:val="16"/>
      <w:lang w:val="en-US"/>
    </w:rPr>
  </w:style>
  <w:style w:type="paragraph" w:styleId="955">
    <w:name w:val="Текст"/>
    <w:basedOn w:val="843"/>
    <w:next w:val="955"/>
    <w:link w:val="843"/>
    <w:rPr>
      <w:rFonts w:ascii="Courier New" w:hAnsi="Courier New" w:cs="Courier New"/>
      <w:sz w:val="20"/>
      <w:szCs w:val="20"/>
      <w:lang w:val="en-US"/>
    </w:rPr>
  </w:style>
  <w:style w:type="paragraph" w:styleId="956">
    <w:name w:val="western"/>
    <w:basedOn w:val="843"/>
    <w:next w:val="956"/>
    <w:link w:val="843"/>
    <w:pPr>
      <w:spacing w:before="280" w:after="280"/>
    </w:pPr>
  </w:style>
  <w:style w:type="paragraph" w:styleId="957">
    <w:name w:val="Пункт_3"/>
    <w:basedOn w:val="843"/>
    <w:next w:val="957"/>
    <w:link w:val="843"/>
    <w:pPr>
      <w:ind w:left="2302" w:right="0" w:hanging="360"/>
      <w:jc w:val="both"/>
    </w:pPr>
    <w:rPr>
      <w:sz w:val="28"/>
      <w:szCs w:val="28"/>
    </w:rPr>
  </w:style>
  <w:style w:type="paragraph" w:styleId="958">
    <w:name w:val="Текст примечания"/>
    <w:basedOn w:val="843"/>
    <w:next w:val="958"/>
    <w:link w:val="843"/>
    <w:rPr>
      <w:sz w:val="20"/>
      <w:szCs w:val="20"/>
      <w:lang w:val="en-US"/>
    </w:rPr>
  </w:style>
  <w:style w:type="paragraph" w:styleId="959">
    <w:name w:val="Тема примечания"/>
    <w:basedOn w:val="958"/>
    <w:next w:val="958"/>
    <w:link w:val="843"/>
    <w:rPr>
      <w:b/>
      <w:bCs/>
    </w:rPr>
  </w:style>
  <w:style w:type="paragraph" w:styleId="960">
    <w:name w:val="Normal unindented"/>
    <w:next w:val="960"/>
    <w:link w:val="843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61">
    <w:name w:val="ConsPlusNonformat"/>
    <w:next w:val="96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2">
    <w:name w:val="ConsNonformat"/>
    <w:next w:val="962"/>
    <w:link w:val="843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3">
    <w:name w:val="Text Normal"/>
    <w:basedOn w:val="843"/>
    <w:next w:val="963"/>
    <w:link w:val="843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964">
    <w:name w:val="Основной текст с отступом"/>
    <w:basedOn w:val="843"/>
    <w:next w:val="964"/>
    <w:link w:val="843"/>
    <w:pPr>
      <w:ind w:left="283" w:right="0" w:firstLine="0"/>
      <w:spacing w:before="0" w:after="120"/>
    </w:pPr>
    <w:rPr>
      <w:lang w:val="en-US"/>
    </w:rPr>
  </w:style>
  <w:style w:type="paragraph" w:styleId="965">
    <w:name w:val="Сноска"/>
    <w:basedOn w:val="843"/>
    <w:next w:val="965"/>
    <w:link w:val="843"/>
    <w:rPr>
      <w:sz w:val="20"/>
      <w:szCs w:val="20"/>
      <w:lang w:val="en-US"/>
    </w:rPr>
  </w:style>
  <w:style w:type="paragraph" w:styleId="966">
    <w:name w:val="ListNum"/>
    <w:basedOn w:val="843"/>
    <w:next w:val="966"/>
    <w:link w:val="843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967">
    <w:name w:val="Маркированный список"/>
    <w:basedOn w:val="843"/>
    <w:next w:val="967"/>
    <w:link w:val="843"/>
    <w:pPr>
      <w:numPr>
        <w:ilvl w:val="0"/>
        <w:numId w:val="2"/>
      </w:numPr>
      <w:contextualSpacing/>
      <w:spacing w:before="0" w:after="0"/>
    </w:pPr>
  </w:style>
  <w:style w:type="paragraph" w:styleId="968">
    <w:name w:val="Стиль По центру"/>
    <w:basedOn w:val="843"/>
    <w:next w:val="968"/>
    <w:link w:val="843"/>
    <w:pPr>
      <w:jc w:val="both"/>
    </w:pPr>
    <w:rPr>
      <w:szCs w:val="20"/>
    </w:rPr>
  </w:style>
  <w:style w:type="paragraph" w:styleId="969">
    <w:name w:val="Содержимое таблицы"/>
    <w:basedOn w:val="843"/>
    <w:next w:val="969"/>
    <w:link w:val="843"/>
    <w:pPr>
      <w:widowControl w:val="off"/>
      <w:suppressLineNumbers/>
    </w:pPr>
  </w:style>
  <w:style w:type="paragraph" w:styleId="970">
    <w:name w:val="Заголовок таблицы"/>
    <w:basedOn w:val="969"/>
    <w:next w:val="970"/>
    <w:link w:val="843"/>
    <w:pPr>
      <w:jc w:val="center"/>
      <w:suppressLineNumbers/>
    </w:pPr>
    <w:rPr>
      <w:b/>
      <w:bCs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15</cp:revision>
  <dcterms:created xsi:type="dcterms:W3CDTF">2025-03-13T02:10:00Z</dcterms:created>
  <dcterms:modified xsi:type="dcterms:W3CDTF">2025-06-22T15:44:16Z</dcterms:modified>
</cp:coreProperties>
</file>