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D4374" w14:textId="77777777" w:rsidR="00EA323A" w:rsidRDefault="00122B6F">
      <w:pPr>
        <w:jc w:val="center"/>
        <w:rPr>
          <w:sz w:val="22"/>
          <w:szCs w:val="22"/>
        </w:rPr>
      </w:pPr>
      <w:r>
        <w:rPr>
          <w:b/>
          <w:sz w:val="22"/>
          <w:szCs w:val="22"/>
        </w:rPr>
        <w:t>ТЕХНИЧЕСКОЕ ЗАДАНИЕ</w:t>
      </w:r>
    </w:p>
    <w:p w14:paraId="2D71A377" w14:textId="77777777" w:rsidR="00EA323A" w:rsidRDefault="00EA323A">
      <w:pPr>
        <w:tabs>
          <w:tab w:val="left" w:pos="709"/>
        </w:tabs>
        <w:rPr>
          <w:sz w:val="22"/>
          <w:szCs w:val="22"/>
        </w:rPr>
      </w:pPr>
    </w:p>
    <w:tbl>
      <w:tblPr>
        <w:tblStyle w:val="Style12"/>
        <w:tblpPr w:leftFromText="180" w:rightFromText="180" w:vertAnchor="text" w:tblpY="1"/>
        <w:tblW w:w="9776" w:type="dxa"/>
        <w:tblInd w:w="0" w:type="dxa"/>
        <w:tblLayout w:type="fixed"/>
        <w:tblLook w:val="04A0" w:firstRow="1" w:lastRow="0" w:firstColumn="1" w:lastColumn="0" w:noHBand="0" w:noVBand="1"/>
      </w:tblPr>
      <w:tblGrid>
        <w:gridCol w:w="562"/>
        <w:gridCol w:w="2268"/>
        <w:gridCol w:w="6946"/>
      </w:tblGrid>
      <w:tr w:rsidR="00EA323A" w14:paraId="069B6FBE"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B98DC7A" w14:textId="77777777" w:rsidR="00EA323A" w:rsidRDefault="00122B6F">
            <w:pPr>
              <w:spacing w:line="276" w:lineRule="auto"/>
              <w:jc w:val="center"/>
            </w:pPr>
            <w:r>
              <w:rPr>
                <w:sz w:val="22"/>
                <w:szCs w:val="22"/>
              </w:rPr>
              <w:t>№ п/п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4F22C4" w14:textId="77777777" w:rsidR="00EA323A" w:rsidRDefault="00122B6F">
            <w:pPr>
              <w:spacing w:line="276" w:lineRule="auto"/>
              <w:jc w:val="center"/>
            </w:pPr>
            <w:r>
              <w:rPr>
                <w:sz w:val="22"/>
                <w:szCs w:val="22"/>
              </w:rPr>
              <w:t>Перечень основных заданий и требований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0F58927" w14:textId="77777777" w:rsidR="00EA323A" w:rsidRDefault="00122B6F">
            <w:pPr>
              <w:spacing w:line="276" w:lineRule="auto"/>
              <w:jc w:val="center"/>
            </w:pPr>
            <w:r>
              <w:rPr>
                <w:sz w:val="22"/>
                <w:szCs w:val="22"/>
              </w:rPr>
              <w:t>Содержание требований</w:t>
            </w:r>
          </w:p>
        </w:tc>
      </w:tr>
      <w:tr w:rsidR="00EA323A" w14:paraId="2070AA8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41A85F2" w14:textId="77777777" w:rsidR="00EA323A" w:rsidRDefault="00122B6F">
            <w:pPr>
              <w:spacing w:line="276" w:lineRule="auto"/>
              <w:jc w:val="center"/>
            </w:pPr>
            <w:r>
              <w:rPr>
                <w:sz w:val="22"/>
                <w:szCs w:val="22"/>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91580C" w14:textId="77777777" w:rsidR="00EA323A" w:rsidRDefault="00122B6F">
            <w:pPr>
              <w:spacing w:line="276" w:lineRule="auto"/>
            </w:pPr>
            <w:r>
              <w:rPr>
                <w:sz w:val="22"/>
                <w:szCs w:val="22"/>
              </w:rPr>
              <w:t>Вид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AEBBAF8" w14:textId="77777777" w:rsidR="00EA323A" w:rsidRDefault="00122B6F">
            <w:pPr>
              <w:spacing w:line="276" w:lineRule="auto"/>
              <w:rPr>
                <w:highlight w:val="yellow"/>
              </w:rPr>
            </w:pPr>
            <w:r w:rsidRPr="0062494E">
              <w:rPr>
                <w:sz w:val="22"/>
                <w:szCs w:val="22"/>
              </w:rPr>
              <w:t>Капитальный ремонт крыши общежития Nº2 ГАПОУ КИПК, расположенного по адресу: г. Клинцы, Брянской области, ул. Ворошилова, 35.</w:t>
            </w:r>
          </w:p>
        </w:tc>
      </w:tr>
      <w:tr w:rsidR="00EA323A" w14:paraId="24B93A5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D4B3FEF" w14:textId="77777777" w:rsidR="00EA323A" w:rsidRDefault="00122B6F">
            <w:pPr>
              <w:spacing w:line="276" w:lineRule="auto"/>
              <w:jc w:val="center"/>
            </w:pPr>
            <w:r>
              <w:rPr>
                <w:sz w:val="22"/>
                <w:szCs w:val="22"/>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E07875" w14:textId="77777777" w:rsidR="00EA323A" w:rsidRDefault="00122B6F">
            <w:pPr>
              <w:spacing w:line="276" w:lineRule="auto"/>
            </w:pPr>
            <w:r>
              <w:rPr>
                <w:sz w:val="22"/>
                <w:szCs w:val="22"/>
              </w:rPr>
              <w:t>Заказчик</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07A0907" w14:textId="77777777" w:rsidR="00EA323A" w:rsidRDefault="00122B6F">
            <w:pPr>
              <w:spacing w:line="276" w:lineRule="auto"/>
              <w:rPr>
                <w:sz w:val="22"/>
                <w:szCs w:val="22"/>
                <w:highlight w:val="yellow"/>
              </w:rPr>
            </w:pPr>
            <w:r w:rsidRPr="0062494E">
              <w:rPr>
                <w:sz w:val="22"/>
                <w:szCs w:val="22"/>
              </w:rPr>
              <w:t>ГАПОУ КИПК</w:t>
            </w:r>
          </w:p>
        </w:tc>
      </w:tr>
      <w:tr w:rsidR="00EA323A" w14:paraId="16E04961"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1010668" w14:textId="77777777" w:rsidR="00EA323A" w:rsidRDefault="00122B6F">
            <w:pPr>
              <w:spacing w:line="276" w:lineRule="auto"/>
              <w:jc w:val="center"/>
            </w:pPr>
            <w:r>
              <w:rPr>
                <w:sz w:val="22"/>
                <w:szCs w:val="22"/>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5FB0F3" w14:textId="77777777" w:rsidR="00EA323A" w:rsidRDefault="00122B6F">
            <w:pPr>
              <w:spacing w:line="276" w:lineRule="auto"/>
            </w:pPr>
            <w:r>
              <w:rPr>
                <w:sz w:val="22"/>
                <w:szCs w:val="22"/>
              </w:rPr>
              <w:t>ОКПД 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5144D25" w14:textId="77777777" w:rsidR="00EA323A" w:rsidRDefault="00122B6F">
            <w:pPr>
              <w:pStyle w:val="1"/>
              <w:keepNext w:val="0"/>
              <w:keepLines w:val="0"/>
              <w:spacing w:before="0" w:after="0" w:line="300" w:lineRule="auto"/>
              <w:rPr>
                <w:rFonts w:ascii="Times New Roman" w:eastAsia="Times New Roman" w:hAnsi="Times New Roman" w:cs="Times New Roman"/>
                <w:sz w:val="22"/>
                <w:szCs w:val="22"/>
                <w:highlight w:val="yellow"/>
              </w:rPr>
            </w:pPr>
            <w:bookmarkStart w:id="0" w:name="_brlrzaxndkuw" w:colFirst="0" w:colLast="0"/>
            <w:bookmarkEnd w:id="0"/>
            <w:r w:rsidRPr="0062494E">
              <w:rPr>
                <w:rFonts w:ascii="Times New Roman" w:eastAsia="Times New Roman" w:hAnsi="Times New Roman" w:cs="Times New Roman"/>
                <w:sz w:val="22"/>
                <w:szCs w:val="22"/>
              </w:rPr>
              <w:t>43.91.19.190</w:t>
            </w:r>
          </w:p>
        </w:tc>
      </w:tr>
      <w:tr w:rsidR="00EA323A" w14:paraId="3B158B7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56BC5E9" w14:textId="77777777" w:rsidR="00EA323A" w:rsidRDefault="00122B6F">
            <w:pPr>
              <w:spacing w:line="276" w:lineRule="auto"/>
              <w:jc w:val="center"/>
            </w:pPr>
            <w:r>
              <w:rPr>
                <w:sz w:val="22"/>
                <w:szCs w:val="22"/>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9453EA" w14:textId="77777777" w:rsidR="00EA323A" w:rsidRDefault="00122B6F">
            <w:pPr>
              <w:spacing w:line="276" w:lineRule="auto"/>
            </w:pPr>
            <w:r>
              <w:rPr>
                <w:sz w:val="22"/>
                <w:szCs w:val="22"/>
              </w:rPr>
              <w:t>Сроки выполнения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F63EA70" w14:textId="2B24F1C7" w:rsidR="00EA323A" w:rsidRPr="0062494E" w:rsidRDefault="0062494E">
            <w:pPr>
              <w:spacing w:line="276" w:lineRule="auto"/>
              <w:rPr>
                <w:sz w:val="22"/>
                <w:szCs w:val="22"/>
              </w:rPr>
            </w:pPr>
            <w:r>
              <w:rPr>
                <w:sz w:val="22"/>
                <w:szCs w:val="22"/>
              </w:rPr>
              <w:t xml:space="preserve">В </w:t>
            </w:r>
            <w:r w:rsidRPr="00F03C92">
              <w:rPr>
                <w:sz w:val="22"/>
                <w:szCs w:val="22"/>
              </w:rPr>
              <w:t xml:space="preserve">течение </w:t>
            </w:r>
            <w:r w:rsidR="00F03C92">
              <w:rPr>
                <w:sz w:val="22"/>
                <w:szCs w:val="22"/>
              </w:rPr>
              <w:t>45</w:t>
            </w:r>
            <w:r w:rsidR="00122B6F" w:rsidRPr="00F03C92">
              <w:rPr>
                <w:sz w:val="22"/>
                <w:szCs w:val="22"/>
              </w:rPr>
              <w:t xml:space="preserve"> календарных</w:t>
            </w:r>
            <w:r w:rsidR="00122B6F" w:rsidRPr="0062494E">
              <w:rPr>
                <w:sz w:val="22"/>
                <w:szCs w:val="22"/>
              </w:rPr>
              <w:t xml:space="preserve"> дней с даты заключения договора.</w:t>
            </w:r>
          </w:p>
          <w:p w14:paraId="07258789" w14:textId="77777777" w:rsidR="00EA323A" w:rsidRDefault="00EA323A">
            <w:pPr>
              <w:spacing w:line="276" w:lineRule="auto"/>
              <w:rPr>
                <w:sz w:val="22"/>
                <w:szCs w:val="22"/>
                <w:highlight w:val="yellow"/>
              </w:rPr>
            </w:pPr>
          </w:p>
          <w:p w14:paraId="45CD49C4" w14:textId="77777777" w:rsidR="00EA323A" w:rsidRDefault="00122B6F">
            <w:pPr>
              <w:spacing w:line="276" w:lineRule="auto"/>
            </w:pPr>
            <w:r>
              <w:rPr>
                <w:sz w:val="22"/>
                <w:szCs w:val="22"/>
              </w:rPr>
              <w:t>Подрядчик не позднее 5-х рабочих дней от даты заключения договора предоставляет Заказчику:</w:t>
            </w:r>
          </w:p>
          <w:p w14:paraId="6F93CA7A" w14:textId="77777777" w:rsidR="00EA323A" w:rsidRDefault="00122B6F">
            <w:pPr>
              <w:spacing w:line="276" w:lineRule="auto"/>
            </w:pPr>
            <w:r>
              <w:rPr>
                <w:sz w:val="22"/>
                <w:szCs w:val="22"/>
              </w:rPr>
              <w:t>- утвержденный план график выполнения работ;</w:t>
            </w:r>
          </w:p>
          <w:p w14:paraId="13CBA834" w14:textId="77777777" w:rsidR="00EA323A" w:rsidRDefault="00122B6F">
            <w:pPr>
              <w:spacing w:line="276" w:lineRule="auto"/>
            </w:pPr>
            <w:r>
              <w:rPr>
                <w:sz w:val="22"/>
                <w:szCs w:val="22"/>
              </w:rPr>
              <w:t>- предоставить Заказчику документ о назначении представителя, ответственного за выполнение работ;</w:t>
            </w:r>
          </w:p>
          <w:p w14:paraId="07008C5D" w14:textId="77777777" w:rsidR="00EA323A" w:rsidRDefault="00122B6F">
            <w:pPr>
              <w:spacing w:line="276" w:lineRule="auto"/>
            </w:pPr>
            <w:r>
              <w:rPr>
                <w:sz w:val="22"/>
                <w:szCs w:val="22"/>
              </w:rPr>
              <w:t>-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p>
        </w:tc>
      </w:tr>
      <w:tr w:rsidR="00EA323A" w14:paraId="0D5E4A8C"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49489EE" w14:textId="77777777" w:rsidR="00EA323A" w:rsidRDefault="00122B6F">
            <w:pPr>
              <w:spacing w:line="276" w:lineRule="auto"/>
              <w:jc w:val="center"/>
            </w:pPr>
            <w:r>
              <w:rPr>
                <w:sz w:val="22"/>
                <w:szCs w:val="22"/>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7C5BA9" w14:textId="77777777" w:rsidR="00EA323A" w:rsidRDefault="00122B6F">
            <w:pPr>
              <w:spacing w:line="276" w:lineRule="auto"/>
            </w:pPr>
            <w:r>
              <w:rPr>
                <w:sz w:val="22"/>
                <w:szCs w:val="22"/>
              </w:rPr>
              <w:t>Место размещения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AD520F5" w14:textId="77777777" w:rsidR="00EA323A" w:rsidRDefault="00122B6F">
            <w:pPr>
              <w:spacing w:line="276" w:lineRule="auto"/>
              <w:rPr>
                <w:highlight w:val="yellow"/>
              </w:rPr>
            </w:pPr>
            <w:r w:rsidRPr="0062494E">
              <w:rPr>
                <w:sz w:val="22"/>
                <w:szCs w:val="22"/>
              </w:rPr>
              <w:t xml:space="preserve"> г. Клинцы, Брянской области, ул. Ворошилова, 35.</w:t>
            </w:r>
          </w:p>
        </w:tc>
      </w:tr>
      <w:tr w:rsidR="00EA323A" w14:paraId="3DF98096"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55E93EE" w14:textId="77777777" w:rsidR="00EA323A" w:rsidRDefault="00122B6F">
            <w:pPr>
              <w:spacing w:line="276" w:lineRule="auto"/>
              <w:jc w:val="center"/>
            </w:pPr>
            <w:r>
              <w:rPr>
                <w:sz w:val="22"/>
                <w:szCs w:val="22"/>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5DFEB5" w14:textId="77777777" w:rsidR="00EA323A" w:rsidRDefault="00122B6F">
            <w:pPr>
              <w:spacing w:line="276" w:lineRule="auto"/>
            </w:pPr>
            <w:r>
              <w:rPr>
                <w:sz w:val="22"/>
                <w:szCs w:val="22"/>
              </w:rPr>
              <w:t>Объем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901394C" w14:textId="77777777" w:rsidR="00EA323A" w:rsidRPr="0062494E" w:rsidRDefault="00122B6F">
            <w:pPr>
              <w:spacing w:line="276" w:lineRule="auto"/>
              <w:rPr>
                <w:sz w:val="22"/>
                <w:szCs w:val="22"/>
              </w:rPr>
            </w:pPr>
            <w:r w:rsidRPr="0062494E">
              <w:rPr>
                <w:sz w:val="22"/>
                <w:szCs w:val="22"/>
              </w:rPr>
              <w:t>Согласно составу закупочной документации, в том числе:</w:t>
            </w:r>
          </w:p>
          <w:p w14:paraId="1F0006C2" w14:textId="77777777" w:rsidR="00EA323A" w:rsidRPr="0062494E" w:rsidRDefault="00122B6F">
            <w:pPr>
              <w:spacing w:line="276" w:lineRule="auto"/>
              <w:rPr>
                <w:sz w:val="22"/>
                <w:szCs w:val="22"/>
              </w:rPr>
            </w:pPr>
            <w:r w:rsidRPr="0062494E">
              <w:rPr>
                <w:sz w:val="22"/>
                <w:szCs w:val="22"/>
              </w:rPr>
              <w:t>- Локальный сметный расчет (смета) Nº 02-01-01 «Кровля»;</w:t>
            </w:r>
          </w:p>
          <w:p w14:paraId="5F0FF466" w14:textId="77777777" w:rsidR="00EA323A" w:rsidRPr="0062494E" w:rsidRDefault="00122B6F">
            <w:pPr>
              <w:spacing w:line="276" w:lineRule="auto"/>
              <w:rPr>
                <w:sz w:val="22"/>
                <w:szCs w:val="22"/>
              </w:rPr>
            </w:pPr>
            <w:r w:rsidRPr="0062494E">
              <w:rPr>
                <w:sz w:val="22"/>
                <w:szCs w:val="22"/>
              </w:rPr>
              <w:t>- Сводный сметный расчет стоимости строительства Nº 1;</w:t>
            </w:r>
          </w:p>
          <w:p w14:paraId="021FE88A" w14:textId="77777777" w:rsidR="00EA323A" w:rsidRPr="00FA6E09" w:rsidRDefault="00122B6F">
            <w:pPr>
              <w:spacing w:line="276" w:lineRule="auto"/>
              <w:rPr>
                <w:sz w:val="22"/>
                <w:szCs w:val="22"/>
              </w:rPr>
            </w:pPr>
            <w:r w:rsidRPr="0062494E">
              <w:rPr>
                <w:sz w:val="22"/>
                <w:szCs w:val="22"/>
              </w:rPr>
              <w:t>- Дефектная ведомость “Капитальный ремонт крыши общежития Nº2 ГАПОУ КИПК, расположенного по адресу: г. Клинцы, Брянской области, ул. Ворошилова,</w:t>
            </w:r>
            <w:r w:rsidRPr="00FA6E09">
              <w:rPr>
                <w:sz w:val="22"/>
                <w:szCs w:val="22"/>
              </w:rPr>
              <w:t xml:space="preserve"> </w:t>
            </w:r>
            <w:r w:rsidRPr="0062494E">
              <w:rPr>
                <w:sz w:val="22"/>
                <w:szCs w:val="22"/>
              </w:rPr>
              <w:t>35”</w:t>
            </w:r>
            <w:r w:rsidRPr="00FA6E09">
              <w:rPr>
                <w:sz w:val="22"/>
                <w:szCs w:val="22"/>
              </w:rPr>
              <w:t>;</w:t>
            </w:r>
          </w:p>
          <w:p w14:paraId="1D28B6CC" w14:textId="77777777" w:rsidR="00EA323A" w:rsidRDefault="00122B6F">
            <w:pPr>
              <w:spacing w:line="276" w:lineRule="auto"/>
              <w:rPr>
                <w:sz w:val="22"/>
                <w:szCs w:val="22"/>
                <w:highlight w:val="yellow"/>
              </w:rPr>
            </w:pPr>
            <w:r w:rsidRPr="0062494E">
              <w:rPr>
                <w:sz w:val="22"/>
                <w:szCs w:val="22"/>
              </w:rPr>
              <w:t xml:space="preserve">- Ведомость объёмов работ “Капитальный ремонт крыши общежития Nº2 ГАПОУ КИПК, расположенного по адресу: г. Клинцы, Брянской области, ул. Ворошилова, 35”. </w:t>
            </w:r>
          </w:p>
        </w:tc>
      </w:tr>
      <w:tr w:rsidR="00EA323A" w14:paraId="682F8510"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7C6C81F" w14:textId="77777777" w:rsidR="00EA323A" w:rsidRDefault="00122B6F">
            <w:pPr>
              <w:spacing w:line="276" w:lineRule="auto"/>
              <w:jc w:val="center"/>
            </w:pPr>
            <w:r>
              <w:rPr>
                <w:sz w:val="22"/>
                <w:szCs w:val="22"/>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F807A2" w14:textId="77777777" w:rsidR="00EA323A" w:rsidRDefault="00122B6F">
            <w:pPr>
              <w:spacing w:line="276" w:lineRule="auto"/>
            </w:pPr>
            <w:r>
              <w:rPr>
                <w:sz w:val="22"/>
                <w:szCs w:val="22"/>
              </w:rPr>
              <w:t>Требования к выполнению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949986F" w14:textId="77777777" w:rsidR="00EA323A" w:rsidRDefault="00122B6F">
            <w:pPr>
              <w:spacing w:line="276" w:lineRule="auto"/>
              <w:rPr>
                <w:sz w:val="22"/>
                <w:szCs w:val="22"/>
              </w:rPr>
            </w:pPr>
            <w:r>
              <w:rPr>
                <w:sz w:val="22"/>
                <w:szCs w:val="22"/>
              </w:rPr>
              <w:t>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том числе:</w:t>
            </w:r>
          </w:p>
          <w:p w14:paraId="5769B835" w14:textId="77777777" w:rsidR="00EA323A" w:rsidRDefault="00122B6F">
            <w:pPr>
              <w:shd w:val="clear" w:color="auto" w:fill="FFFFFF"/>
              <w:spacing w:line="276" w:lineRule="auto"/>
              <w:rPr>
                <w:sz w:val="22"/>
                <w:szCs w:val="22"/>
              </w:rPr>
            </w:pPr>
            <w:r>
              <w:rPr>
                <w:sz w:val="22"/>
                <w:szCs w:val="22"/>
              </w:rPr>
              <w:t>- Федеральный закон №52-ФЗ от 30.03.99 г. «О санитарно-эпидемиологическом благополучии населения (с Изменениями)»;</w:t>
            </w:r>
          </w:p>
          <w:p w14:paraId="0DCCB9F3" w14:textId="77777777" w:rsidR="00EA323A" w:rsidRDefault="00122B6F">
            <w:pPr>
              <w:shd w:val="clear" w:color="auto" w:fill="FFFFFF"/>
              <w:spacing w:line="276" w:lineRule="auto"/>
              <w:rPr>
                <w:sz w:val="22"/>
                <w:szCs w:val="22"/>
              </w:rPr>
            </w:pPr>
            <w:r>
              <w:rPr>
                <w:sz w:val="22"/>
                <w:szCs w:val="22"/>
              </w:rPr>
              <w:t>- Градостроительный кодекс Российской Федерации (редакция, действующая);</w:t>
            </w:r>
          </w:p>
          <w:p w14:paraId="020659F3" w14:textId="77777777" w:rsidR="00EA323A" w:rsidRDefault="00122B6F">
            <w:pPr>
              <w:spacing w:line="276" w:lineRule="auto"/>
              <w:rPr>
                <w:sz w:val="22"/>
                <w:szCs w:val="22"/>
              </w:rPr>
            </w:pPr>
            <w:r>
              <w:rPr>
                <w:sz w:val="22"/>
                <w:szCs w:val="22"/>
              </w:rPr>
              <w:t>- Федеральный закон от 22.07.2008 № 123-ФЗ «Технический регламент о требованиях пожарной безопасности (с Изменениями)»;</w:t>
            </w:r>
          </w:p>
          <w:p w14:paraId="48B57B5F" w14:textId="77777777" w:rsidR="00EA323A" w:rsidRDefault="00122B6F">
            <w:pPr>
              <w:spacing w:line="276" w:lineRule="auto"/>
              <w:rPr>
                <w:sz w:val="22"/>
                <w:szCs w:val="22"/>
              </w:rPr>
            </w:pPr>
            <w:r>
              <w:rPr>
                <w:sz w:val="22"/>
                <w:szCs w:val="22"/>
              </w:rPr>
              <w:t>- СНиП 12-03-2001 «Безопасность труда в строительстве Часть 1. Общие требования»;</w:t>
            </w:r>
          </w:p>
          <w:p w14:paraId="754AB8E9" w14:textId="77777777" w:rsidR="00EA323A" w:rsidRDefault="00122B6F">
            <w:pPr>
              <w:spacing w:line="276" w:lineRule="auto"/>
              <w:rPr>
                <w:sz w:val="22"/>
                <w:szCs w:val="22"/>
              </w:rPr>
            </w:pPr>
            <w:r>
              <w:rPr>
                <w:sz w:val="22"/>
                <w:szCs w:val="22"/>
              </w:rPr>
              <w:t>- СНиП 12-04-2002 «Безопасность труда в строительстве Часть 2. Строительное производство»;</w:t>
            </w:r>
          </w:p>
          <w:p w14:paraId="4EA4CBD6" w14:textId="77777777" w:rsidR="00EA323A" w:rsidRDefault="00122B6F">
            <w:pPr>
              <w:spacing w:line="276" w:lineRule="auto"/>
              <w:rPr>
                <w:sz w:val="22"/>
                <w:szCs w:val="22"/>
              </w:rPr>
            </w:pPr>
            <w:r>
              <w:rPr>
                <w:sz w:val="22"/>
                <w:szCs w:val="22"/>
              </w:rPr>
              <w:t>- Федеральный закон от 21.12.1994 № 69-ФЗ «О пожарной безопасности» (с Изменениями);</w:t>
            </w:r>
          </w:p>
          <w:p w14:paraId="232CC110" w14:textId="77777777" w:rsidR="00EA323A" w:rsidRDefault="00122B6F">
            <w:pPr>
              <w:spacing w:line="276" w:lineRule="auto"/>
              <w:rPr>
                <w:sz w:val="22"/>
                <w:szCs w:val="22"/>
              </w:rPr>
            </w:pPr>
            <w:r>
              <w:rPr>
                <w:sz w:val="22"/>
                <w:szCs w:val="22"/>
              </w:rPr>
              <w:t>- Федеральный закон от 27.12.2002 № 184-ФЗ «О техническом регулировании» (с Изменениями);</w:t>
            </w:r>
          </w:p>
          <w:p w14:paraId="06F74102" w14:textId="77777777" w:rsidR="00EA323A" w:rsidRDefault="00122B6F">
            <w:pPr>
              <w:spacing w:line="276" w:lineRule="auto"/>
              <w:rPr>
                <w:sz w:val="22"/>
                <w:szCs w:val="22"/>
              </w:rPr>
            </w:pPr>
            <w:r>
              <w:rPr>
                <w:sz w:val="22"/>
                <w:szCs w:val="22"/>
              </w:rPr>
              <w:t xml:space="preserve">- Федеральным законом от 30.12.2009 № 384-ФЗ «Технический </w:t>
            </w:r>
            <w:r>
              <w:rPr>
                <w:sz w:val="22"/>
                <w:szCs w:val="22"/>
              </w:rPr>
              <w:lastRenderedPageBreak/>
              <w:t>регламент о безопасности зданий и сооружений (с изменениями)»;</w:t>
            </w:r>
          </w:p>
          <w:p w14:paraId="5685940F" w14:textId="77777777" w:rsidR="00EA323A" w:rsidRDefault="00122B6F">
            <w:pPr>
              <w:jc w:val="both"/>
              <w:rPr>
                <w:sz w:val="22"/>
                <w:szCs w:val="22"/>
              </w:rPr>
            </w:pPr>
            <w:r>
              <w:rPr>
                <w:sz w:val="22"/>
                <w:szCs w:val="22"/>
              </w:rPr>
              <w:t>- СП 118.13330.2022 «Свод правил. Общественные здания и сооружения. СНиП 31-06-2009»;</w:t>
            </w:r>
          </w:p>
          <w:p w14:paraId="5D8DF557" w14:textId="77777777" w:rsidR="00EA323A" w:rsidRDefault="00122B6F">
            <w:pPr>
              <w:shd w:val="clear" w:color="auto" w:fill="FFFFFF"/>
              <w:jc w:val="both"/>
              <w:rPr>
                <w:sz w:val="22"/>
                <w:szCs w:val="22"/>
              </w:rPr>
            </w:pPr>
            <w:r>
              <w:rPr>
                <w:sz w:val="22"/>
                <w:szCs w:val="22"/>
              </w:rPr>
              <w:t>- СП 70.13330.2012 «Свод правил. Несущие и ограждающие конструкции зданий. Актуализированная редакция СНиП 3.03.01-87»;</w:t>
            </w:r>
          </w:p>
          <w:p w14:paraId="2A09E80B" w14:textId="77777777" w:rsidR="00EA323A" w:rsidRDefault="00122B6F">
            <w:pPr>
              <w:shd w:val="clear" w:color="auto" w:fill="FFFFFF"/>
              <w:jc w:val="both"/>
              <w:rPr>
                <w:sz w:val="22"/>
                <w:szCs w:val="22"/>
              </w:rPr>
            </w:pPr>
            <w:r>
              <w:rPr>
                <w:sz w:val="22"/>
                <w:szCs w:val="22"/>
              </w:rPr>
              <w:t>- СП 28.13330.2017 «Свод правил. Защита строительных конструкций от коррозии. Актуализированная редакция СНиП 2.03.11-85»;</w:t>
            </w:r>
          </w:p>
          <w:p w14:paraId="5917B4E1" w14:textId="77777777" w:rsidR="00EA323A" w:rsidRDefault="00122B6F">
            <w:pPr>
              <w:shd w:val="clear" w:color="auto" w:fill="FFFFFF"/>
              <w:jc w:val="both"/>
              <w:rPr>
                <w:sz w:val="17"/>
                <w:szCs w:val="17"/>
                <w:highlight w:val="white"/>
              </w:rPr>
            </w:pPr>
            <w:r>
              <w:rPr>
                <w:sz w:val="17"/>
                <w:szCs w:val="17"/>
                <w:highlight w:val="white"/>
              </w:rPr>
              <w:t xml:space="preserve">- </w:t>
            </w:r>
            <w:r>
              <w:rPr>
                <w:sz w:val="22"/>
                <w:szCs w:val="22"/>
                <w:highlight w:val="white"/>
              </w:rPr>
              <w:t>СП 17.13330.2017 «Свод правил. Кровли. Актуализированная редакция СНиП II-26-76»</w:t>
            </w:r>
            <w:r>
              <w:rPr>
                <w:sz w:val="17"/>
                <w:szCs w:val="17"/>
                <w:highlight w:val="white"/>
              </w:rPr>
              <w:t>;</w:t>
            </w:r>
          </w:p>
          <w:p w14:paraId="7D82EF21" w14:textId="77777777" w:rsidR="00EA323A" w:rsidRDefault="00122B6F">
            <w:pPr>
              <w:shd w:val="clear" w:color="auto" w:fill="FFFFFF"/>
              <w:jc w:val="both"/>
              <w:rPr>
                <w:sz w:val="22"/>
                <w:szCs w:val="22"/>
              </w:rPr>
            </w:pPr>
            <w:r>
              <w:rPr>
                <w:sz w:val="22"/>
                <w:szCs w:val="22"/>
              </w:rPr>
              <w:t>-   СП 30.13330.2020 “Внутренний водопровод и канализация зданий”</w:t>
            </w:r>
          </w:p>
          <w:p w14:paraId="231CCB90" w14:textId="77777777" w:rsidR="00EA323A" w:rsidRDefault="00122B6F">
            <w:pPr>
              <w:shd w:val="clear" w:color="auto" w:fill="FFFFFF"/>
              <w:jc w:val="both"/>
              <w:rPr>
                <w:sz w:val="22"/>
                <w:szCs w:val="22"/>
              </w:rPr>
            </w:pPr>
            <w:r>
              <w:rPr>
                <w:sz w:val="22"/>
                <w:szCs w:val="22"/>
              </w:rPr>
              <w:t xml:space="preserve">- СП 71.13330.2017 «Свод правил. Изоляционные и отделочные покрытия. Актуализированная редакция </w:t>
            </w:r>
            <w:hyperlink r:id="rId5">
              <w:r>
                <w:rPr>
                  <w:sz w:val="22"/>
                  <w:szCs w:val="22"/>
                </w:rPr>
                <w:t>СНиП 3.04.01-87</w:t>
              </w:r>
            </w:hyperlink>
            <w:r>
              <w:rPr>
                <w:sz w:val="22"/>
                <w:szCs w:val="22"/>
              </w:rPr>
              <w:t>»;</w:t>
            </w:r>
          </w:p>
          <w:p w14:paraId="22BA0F7B" w14:textId="77777777" w:rsidR="00EA323A" w:rsidRDefault="00122B6F">
            <w:pPr>
              <w:tabs>
                <w:tab w:val="left" w:pos="341"/>
              </w:tabs>
              <w:rPr>
                <w:sz w:val="22"/>
                <w:szCs w:val="22"/>
              </w:rPr>
            </w:pPr>
            <w:r>
              <w:rPr>
                <w:sz w:val="22"/>
                <w:szCs w:val="22"/>
              </w:rPr>
              <w:t>- ПУЭ «Правила устройства электроустановок» изд. 7;</w:t>
            </w:r>
          </w:p>
          <w:p w14:paraId="56F0B60D" w14:textId="77777777" w:rsidR="00EA323A" w:rsidRDefault="00122B6F">
            <w:pPr>
              <w:tabs>
                <w:tab w:val="left" w:pos="341"/>
              </w:tabs>
              <w:rPr>
                <w:sz w:val="22"/>
                <w:szCs w:val="22"/>
              </w:rPr>
            </w:pPr>
            <w:r>
              <w:rPr>
                <w:sz w:val="22"/>
                <w:szCs w:val="22"/>
              </w:rPr>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6B84FECA" w14:textId="77777777" w:rsidR="00EA323A" w:rsidRDefault="00122B6F">
            <w:pPr>
              <w:spacing w:line="276" w:lineRule="auto"/>
              <w:rPr>
                <w:sz w:val="22"/>
                <w:szCs w:val="22"/>
              </w:rPr>
            </w:pPr>
            <w:r>
              <w:rPr>
                <w:sz w:val="22"/>
                <w:szCs w:val="22"/>
              </w:rPr>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EA323A" w14:paraId="1DED71CB"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210B66B" w14:textId="77777777" w:rsidR="00EA323A" w:rsidRDefault="00122B6F">
            <w:pPr>
              <w:spacing w:line="276" w:lineRule="auto"/>
              <w:jc w:val="center"/>
            </w:pPr>
            <w:r>
              <w:rPr>
                <w:sz w:val="22"/>
                <w:szCs w:val="22"/>
              </w:rPr>
              <w:lastRenderedPageBreak/>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32E729" w14:textId="77777777" w:rsidR="00EA323A" w:rsidRDefault="00122B6F">
            <w:pPr>
              <w:spacing w:line="276" w:lineRule="auto"/>
            </w:pPr>
            <w:r>
              <w:rPr>
                <w:sz w:val="22"/>
                <w:szCs w:val="22"/>
              </w:rPr>
              <w:t>Общие требования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9DAE3E3" w14:textId="77777777" w:rsidR="00EA323A" w:rsidRDefault="00122B6F">
            <w:pPr>
              <w:spacing w:line="276" w:lineRule="auto"/>
            </w:pPr>
            <w:r>
              <w:rPr>
                <w:sz w:val="22"/>
                <w:szCs w:val="22"/>
              </w:rPr>
              <w:t xml:space="preserve">1. Подрядчик гарантирует: </w:t>
            </w:r>
          </w:p>
          <w:p w14:paraId="5D65840F" w14:textId="77777777" w:rsidR="00EA323A" w:rsidRDefault="00122B6F">
            <w:pPr>
              <w:spacing w:line="276" w:lineRule="auto"/>
            </w:pPr>
            <w:r>
              <w:rPr>
                <w:sz w:val="22"/>
                <w:szCs w:val="22"/>
              </w:rPr>
              <w:t>- выполнение всех работ в полном объеме и в сроки, определенные условиями договора;</w:t>
            </w:r>
          </w:p>
          <w:p w14:paraId="1A881263" w14:textId="77777777" w:rsidR="00EA323A" w:rsidRDefault="00122B6F">
            <w:pPr>
              <w:spacing w:line="276" w:lineRule="auto"/>
            </w:pPr>
            <w:r>
              <w:rPr>
                <w:sz w:val="22"/>
                <w:szCs w:val="22"/>
              </w:rPr>
              <w:t>- возможность безаварийной эксплуатации объекта на протяжении гарантийного срока;</w:t>
            </w:r>
          </w:p>
          <w:p w14:paraId="713618C2" w14:textId="77777777" w:rsidR="00EA323A" w:rsidRDefault="00122B6F">
            <w:pPr>
              <w:spacing w:line="276" w:lineRule="auto"/>
            </w:pPr>
            <w:r>
              <w:rPr>
                <w:sz w:val="22"/>
                <w:szCs w:val="22"/>
              </w:rPr>
              <w:t>- соответствие выполненных работ требованиям технического задания и условиям контракта;</w:t>
            </w:r>
          </w:p>
          <w:p w14:paraId="4360BE8A" w14:textId="77777777" w:rsidR="00EA323A" w:rsidRDefault="00122B6F">
            <w:pPr>
              <w:spacing w:line="276" w:lineRule="auto"/>
            </w:pPr>
            <w:r>
              <w:rPr>
                <w:sz w:val="22"/>
                <w:szCs w:val="22"/>
              </w:rPr>
              <w:t>-  своевременное устранение за свой счет недостатков и дефектов, выявленных в период гарантийного срока.</w:t>
            </w:r>
          </w:p>
          <w:p w14:paraId="717A9BE8" w14:textId="77777777" w:rsidR="00EA323A" w:rsidRDefault="00122B6F">
            <w:pPr>
              <w:spacing w:line="276" w:lineRule="auto"/>
              <w:rPr>
                <w:b/>
              </w:rPr>
            </w:pPr>
            <w:r>
              <w:rPr>
                <w:sz w:val="22"/>
                <w:szCs w:val="22"/>
              </w:rPr>
              <w:t>2. Заказчик имеет право:</w:t>
            </w:r>
          </w:p>
          <w:p w14:paraId="07BC0314" w14:textId="77777777" w:rsidR="00EA323A" w:rsidRDefault="00122B6F">
            <w:pPr>
              <w:spacing w:line="276" w:lineRule="auto"/>
            </w:pPr>
            <w:r>
              <w:rPr>
                <w:b/>
                <w:sz w:val="22"/>
                <w:szCs w:val="22"/>
              </w:rPr>
              <w:t xml:space="preserve">- </w:t>
            </w:r>
            <w:r>
              <w:rPr>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52CECA0A" w14:textId="77777777" w:rsidR="00EA323A" w:rsidRDefault="00122B6F">
            <w:pPr>
              <w:spacing w:line="276" w:lineRule="auto"/>
            </w:pPr>
            <w:r>
              <w:rPr>
                <w:sz w:val="22"/>
                <w:szCs w:val="22"/>
              </w:rPr>
              <w:t>- осматривать и испытывать материалы и оборудование, применяемые Подрядчиком для выполнения работ;</w:t>
            </w:r>
          </w:p>
          <w:p w14:paraId="6229CF2D" w14:textId="77777777" w:rsidR="00EA323A" w:rsidRDefault="00122B6F">
            <w:pPr>
              <w:spacing w:line="276" w:lineRule="auto"/>
            </w:pPr>
            <w:r>
              <w:rPr>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78FDE09D" w14:textId="77777777" w:rsidR="00EA323A" w:rsidRDefault="00122B6F">
            <w:pPr>
              <w:spacing w:line="276" w:lineRule="auto"/>
            </w:pPr>
            <w:r>
              <w:rPr>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3E9EDD1F" w14:textId="77777777" w:rsidR="00EA323A" w:rsidRDefault="00122B6F">
            <w:pPr>
              <w:spacing w:line="276" w:lineRule="auto"/>
            </w:pPr>
            <w:r>
              <w:rPr>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6F95D24A" w14:textId="77777777" w:rsidR="00EA323A" w:rsidRDefault="00122B6F">
            <w:pPr>
              <w:spacing w:line="276" w:lineRule="auto"/>
            </w:pPr>
            <w:r>
              <w:rPr>
                <w:sz w:val="22"/>
                <w:szCs w:val="22"/>
              </w:rPr>
              <w:t>- в любое время проверять ход и качество работ, выполняемых Подрядчиком, не вмешиваясь в его хозяйственную деятельность;</w:t>
            </w:r>
          </w:p>
          <w:p w14:paraId="61B14D87" w14:textId="77777777" w:rsidR="00EA323A" w:rsidRDefault="00122B6F">
            <w:pPr>
              <w:spacing w:line="276" w:lineRule="auto"/>
            </w:pPr>
            <w:r>
              <w:rPr>
                <w:sz w:val="22"/>
                <w:szCs w:val="22"/>
              </w:rPr>
              <w:t>- отказать в оплате выполненных работ, не предусмотренные настоящим Договором;</w:t>
            </w:r>
          </w:p>
          <w:p w14:paraId="69F81C91" w14:textId="77777777" w:rsidR="00EA323A" w:rsidRDefault="00122B6F">
            <w:pPr>
              <w:spacing w:line="276" w:lineRule="auto"/>
            </w:pPr>
            <w:r>
              <w:rPr>
                <w:sz w:val="22"/>
                <w:szCs w:val="22"/>
              </w:rPr>
              <w:t xml:space="preserve">-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w:t>
            </w:r>
            <w:r>
              <w:rPr>
                <w:sz w:val="22"/>
                <w:szCs w:val="22"/>
              </w:rPr>
              <w:lastRenderedPageBreak/>
              <w:t>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6E6CCF6C" w14:textId="77777777" w:rsidR="00EA323A" w:rsidRDefault="00122B6F">
            <w:pPr>
              <w:spacing w:line="276" w:lineRule="auto"/>
            </w:pPr>
            <w:r>
              <w:rPr>
                <w:sz w:val="22"/>
                <w:szCs w:val="22"/>
              </w:rPr>
              <w:t>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5F5E5FE3" w14:textId="77777777" w:rsidR="00EA323A" w:rsidRDefault="00122B6F">
            <w:pPr>
              <w:spacing w:line="276" w:lineRule="auto"/>
            </w:pPr>
            <w:r>
              <w:rPr>
                <w:sz w:val="22"/>
                <w:szCs w:val="22"/>
              </w:rPr>
              <w:t>4. 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429178D5" w14:textId="77777777" w:rsidR="00EA323A" w:rsidRDefault="00122B6F">
            <w:pPr>
              <w:spacing w:line="276" w:lineRule="auto"/>
            </w:pPr>
            <w:r>
              <w:rPr>
                <w:sz w:val="22"/>
                <w:szCs w:val="22"/>
              </w:rPr>
              <w:t xml:space="preserve">5.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14:paraId="61D55666" w14:textId="77777777" w:rsidR="00EA323A" w:rsidRDefault="00122B6F">
            <w:pPr>
              <w:spacing w:line="276" w:lineRule="auto"/>
            </w:pPr>
            <w:r>
              <w:rPr>
                <w:sz w:val="22"/>
                <w:szCs w:val="22"/>
              </w:rPr>
              <w:t>6. Перед началом производства необходимо провести инструктаж о методах работ, последовательности их выполнения.</w:t>
            </w:r>
          </w:p>
          <w:p w14:paraId="50606AC9" w14:textId="77777777" w:rsidR="00EA323A" w:rsidRDefault="00122B6F">
            <w:pPr>
              <w:spacing w:line="276" w:lineRule="auto"/>
            </w:pPr>
            <w:r>
              <w:rPr>
                <w:sz w:val="22"/>
                <w:szCs w:val="22"/>
              </w:rPr>
              <w:t>7. 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EA323A" w14:paraId="719D3ECD"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9334B3E" w14:textId="77777777" w:rsidR="00EA323A" w:rsidRDefault="00122B6F">
            <w:pPr>
              <w:spacing w:line="276" w:lineRule="auto"/>
              <w:jc w:val="center"/>
            </w:pPr>
            <w:r>
              <w:rPr>
                <w:sz w:val="22"/>
                <w:szCs w:val="22"/>
              </w:rPr>
              <w:lastRenderedPageBreak/>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DA62D6" w14:textId="77777777" w:rsidR="00EA323A" w:rsidRDefault="00122B6F">
            <w:pPr>
              <w:spacing w:line="276" w:lineRule="auto"/>
            </w:pPr>
            <w:r>
              <w:rPr>
                <w:sz w:val="22"/>
                <w:szCs w:val="22"/>
              </w:rPr>
              <w:t>Требования к сотрудникам Подрядчика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80E995C" w14:textId="77777777" w:rsidR="00EA323A" w:rsidRDefault="00122B6F">
            <w:pPr>
              <w:widowControl/>
              <w:spacing w:line="276" w:lineRule="auto"/>
            </w:pPr>
            <w:r>
              <w:rPr>
                <w:sz w:val="22"/>
                <w:szCs w:val="22"/>
              </w:rPr>
              <w:t>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 ответственность за привлекаемый к работе сотрудников несет Подрядчик;</w:t>
            </w:r>
          </w:p>
          <w:p w14:paraId="631E54BB" w14:textId="77777777" w:rsidR="00EA323A" w:rsidRDefault="00122B6F">
            <w:pPr>
              <w:widowControl/>
              <w:spacing w:line="276" w:lineRule="auto"/>
            </w:pPr>
            <w:r>
              <w:rPr>
                <w:sz w:val="22"/>
                <w:szCs w:val="22"/>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14:paraId="1DA582F2" w14:textId="77777777" w:rsidR="00EA323A" w:rsidRDefault="00122B6F">
            <w:pPr>
              <w:widowControl/>
              <w:spacing w:line="276" w:lineRule="auto"/>
            </w:pPr>
            <w:r>
              <w:rPr>
                <w:sz w:val="22"/>
                <w:szCs w:val="22"/>
              </w:rPr>
              <w:t>3.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EA323A" w14:paraId="40C5EE5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87F23DA" w14:textId="77777777" w:rsidR="00EA323A" w:rsidRDefault="00122B6F">
            <w:pPr>
              <w:spacing w:line="276" w:lineRule="auto"/>
              <w:jc w:val="center"/>
            </w:pPr>
            <w:r>
              <w:rPr>
                <w:sz w:val="22"/>
                <w:szCs w:val="22"/>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8F32E6" w14:textId="77777777" w:rsidR="00EA323A" w:rsidRDefault="00122B6F">
            <w:pPr>
              <w:tabs>
                <w:tab w:val="center" w:pos="4209"/>
                <w:tab w:val="center" w:pos="9878"/>
              </w:tabs>
              <w:spacing w:line="276" w:lineRule="auto"/>
              <w:rPr>
                <w:u w:val="single"/>
              </w:rPr>
            </w:pPr>
            <w:r>
              <w:rPr>
                <w:sz w:val="22"/>
                <w:szCs w:val="22"/>
              </w:rPr>
              <w:t>Требования к качеству используемых в работе материалов (товаров)</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0A046B9" w14:textId="77777777" w:rsidR="00EA323A" w:rsidRDefault="00122B6F">
            <w:pPr>
              <w:spacing w:line="276" w:lineRule="auto"/>
              <w:ind w:right="57"/>
              <w:rPr>
                <w:b/>
              </w:rPr>
            </w:pPr>
            <w:r>
              <w:rPr>
                <w:sz w:val="22"/>
                <w:szCs w:val="22"/>
              </w:rPr>
              <w:t>1. Используемые в процессе производства работ материалы должны быть разрешены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6FC5DE47" w14:textId="77777777" w:rsidR="00EA323A" w:rsidRDefault="00122B6F">
            <w:pPr>
              <w:spacing w:line="276" w:lineRule="auto"/>
            </w:pPr>
            <w:r>
              <w:rPr>
                <w:sz w:val="22"/>
                <w:szCs w:val="22"/>
              </w:rPr>
              <w:t>2. Используемые в процессе производства работ материалы должны являться новым, ранее не использованным (все составные части материалов должны быть новыми), не должны иметь дефектов, связанных с конструкцией, материалами или функционированием при штатном их использовании;</w:t>
            </w:r>
          </w:p>
          <w:p w14:paraId="14ED428B" w14:textId="77777777" w:rsidR="00EA323A" w:rsidRDefault="00122B6F">
            <w:pPr>
              <w:spacing w:line="276" w:lineRule="auto"/>
            </w:pPr>
            <w:r>
              <w:rPr>
                <w:sz w:val="22"/>
                <w:szCs w:val="22"/>
              </w:rPr>
              <w:lastRenderedPageBreak/>
              <w:t>3. Используемые в процессе производства работ материалы должны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6D1E8A36" w14:textId="77777777" w:rsidR="00EA323A" w:rsidRDefault="00122B6F">
            <w:pPr>
              <w:spacing w:line="276" w:lineRule="auto"/>
            </w:pPr>
            <w:r>
              <w:rPr>
                <w:sz w:val="22"/>
                <w:szCs w:val="22"/>
              </w:rPr>
              <w:t>4. Используемые в процессе производства работ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47A930E7" w14:textId="77777777" w:rsidR="00EA323A" w:rsidRDefault="00122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Pr>
                <w:sz w:val="22"/>
                <w:szCs w:val="22"/>
              </w:rPr>
              <w:t>5. Цветовая гамма используемого материала согласовывается с Заказчиком.</w:t>
            </w:r>
          </w:p>
        </w:tc>
      </w:tr>
      <w:tr w:rsidR="00EA323A" w14:paraId="5AAD1218"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455C3C6" w14:textId="77777777" w:rsidR="00EA323A" w:rsidRDefault="00122B6F">
            <w:pPr>
              <w:spacing w:line="276" w:lineRule="auto"/>
              <w:jc w:val="center"/>
            </w:pPr>
            <w:r>
              <w:rPr>
                <w:sz w:val="22"/>
                <w:szCs w:val="22"/>
              </w:rPr>
              <w:lastRenderedPageBreak/>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442492" w14:textId="77777777" w:rsidR="00EA323A" w:rsidRDefault="00122B6F">
            <w:pPr>
              <w:tabs>
                <w:tab w:val="center" w:pos="4209"/>
                <w:tab w:val="center" w:pos="9878"/>
              </w:tabs>
              <w:spacing w:line="276" w:lineRule="auto"/>
              <w:rPr>
                <w:u w:val="single"/>
              </w:rPr>
            </w:pPr>
            <w:r>
              <w:rPr>
                <w:sz w:val="22"/>
                <w:szCs w:val="22"/>
              </w:rP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63BE43B" w14:textId="77777777" w:rsidR="00EA323A" w:rsidRDefault="00122B6F">
            <w:pPr>
              <w:spacing w:line="276" w:lineRule="auto"/>
            </w:pPr>
            <w:r>
              <w:rPr>
                <w:sz w:val="22"/>
                <w:szCs w:val="22"/>
              </w:rPr>
              <w:t>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72AF9A8D" w14:textId="77777777" w:rsidR="00EA323A" w:rsidRDefault="00122B6F">
            <w:pPr>
              <w:spacing w:line="276" w:lineRule="auto"/>
            </w:pPr>
            <w:r>
              <w:rPr>
                <w:sz w:val="22"/>
                <w:szCs w:val="22"/>
              </w:rPr>
              <w:t>2. При обнаружении в течение гарантийного срока недостатков (дефектов), Заказчик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14:paraId="55C8FB72" w14:textId="77777777" w:rsidR="00EA323A" w:rsidRDefault="00122B6F">
            <w:pPr>
              <w:spacing w:line="276" w:lineRule="auto"/>
            </w:pPr>
            <w:r>
              <w:rPr>
                <w:sz w:val="22"/>
                <w:szCs w:val="22"/>
              </w:rP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1A6337BB" w14:textId="77777777" w:rsidR="00EA323A" w:rsidRDefault="00122B6F">
            <w:pPr>
              <w:spacing w:line="276" w:lineRule="auto"/>
            </w:pPr>
            <w:r>
              <w:rPr>
                <w:sz w:val="22"/>
                <w:szCs w:val="22"/>
              </w:rPr>
              <w:t>4. Подрядчик обязан безвозмездно устранять указанные в акте недостатки (дефекты) в разумный срок или возмещать расходы на их устранение.</w:t>
            </w:r>
          </w:p>
          <w:p w14:paraId="6B5DC950" w14:textId="77777777" w:rsidR="00EA323A" w:rsidRDefault="00122B6F">
            <w:pPr>
              <w:spacing w:line="276" w:lineRule="auto"/>
            </w:pPr>
            <w:r>
              <w:rPr>
                <w:sz w:val="22"/>
                <w:szCs w:val="22"/>
              </w:rPr>
              <w:t>5.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0800EDBD" w14:textId="77777777" w:rsidR="00EA323A" w:rsidRDefault="00122B6F">
            <w:pPr>
              <w:spacing w:line="276" w:lineRule="auto"/>
            </w:pPr>
            <w:r>
              <w:rPr>
                <w:sz w:val="22"/>
                <w:szCs w:val="22"/>
              </w:rPr>
              <w:t>6. Подрядчик несет ответственность перед Заказчиком за допущенные отступления от требований настоящего Технического задания.</w:t>
            </w:r>
          </w:p>
          <w:p w14:paraId="26AD1FE3" w14:textId="4376059E" w:rsidR="00EA323A" w:rsidRDefault="00122B6F">
            <w:pPr>
              <w:spacing w:line="276" w:lineRule="auto"/>
              <w:rPr>
                <w:highlight w:val="yellow"/>
              </w:rPr>
            </w:pPr>
            <w:r w:rsidRPr="0062494E">
              <w:rPr>
                <w:sz w:val="22"/>
                <w:szCs w:val="22"/>
              </w:rPr>
              <w:t xml:space="preserve">7. В соответствии с условиями Договора гарантийный срок на </w:t>
            </w:r>
            <w:r w:rsidR="00F03C92">
              <w:rPr>
                <w:sz w:val="22"/>
                <w:szCs w:val="22"/>
              </w:rPr>
              <w:t>выполненные работы – не менее 60</w:t>
            </w:r>
            <w:r w:rsidRPr="0062494E">
              <w:rPr>
                <w:sz w:val="22"/>
                <w:szCs w:val="22"/>
              </w:rPr>
              <w:t xml:space="preserve"> месяцев с даты подписания итогового Акта приёмки выполненных работ.</w:t>
            </w:r>
          </w:p>
        </w:tc>
      </w:tr>
      <w:tr w:rsidR="00EA323A" w14:paraId="47B000F5" w14:textId="77777777">
        <w:trPr>
          <w:trHeight w:val="55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C9BF943" w14:textId="77777777" w:rsidR="00EA323A" w:rsidRDefault="00122B6F">
            <w:pPr>
              <w:spacing w:line="276" w:lineRule="auto"/>
              <w:jc w:val="center"/>
            </w:pPr>
            <w:r>
              <w:rPr>
                <w:sz w:val="22"/>
                <w:szCs w:val="22"/>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B65150" w14:textId="77777777" w:rsidR="00EA323A" w:rsidRDefault="00122B6F">
            <w:pPr>
              <w:tabs>
                <w:tab w:val="center" w:pos="4209"/>
                <w:tab w:val="center" w:pos="9878"/>
              </w:tabs>
              <w:spacing w:line="276" w:lineRule="auto"/>
              <w:rPr>
                <w:u w:val="single"/>
              </w:rPr>
            </w:pPr>
            <w:r>
              <w:rPr>
                <w:sz w:val="22"/>
                <w:szCs w:val="22"/>
              </w:rPr>
              <w:t>Требования к 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B5A38F6" w14:textId="77777777" w:rsidR="00EA323A" w:rsidRDefault="00122B6F">
            <w:pPr>
              <w:tabs>
                <w:tab w:val="center" w:pos="567"/>
              </w:tabs>
              <w:spacing w:line="276" w:lineRule="auto"/>
              <w:rPr>
                <w:highlight w:val="yellow"/>
              </w:rPr>
            </w:pPr>
            <w:r>
              <w:rPr>
                <w:sz w:val="22"/>
                <w:szCs w:val="22"/>
              </w:rPr>
              <w:t>1. Сдача результатов выполненных работ Подрядчиком и приемка их Заказчиком оформляется Актом о приеме выполненных работ, подписанн</w:t>
            </w:r>
            <w:bookmarkStart w:id="1" w:name="_GoBack"/>
            <w:bookmarkEnd w:id="1"/>
            <w:r>
              <w:rPr>
                <w:sz w:val="22"/>
                <w:szCs w:val="22"/>
              </w:rPr>
              <w:t>ым обеими сторонами.</w:t>
            </w:r>
          </w:p>
          <w:p w14:paraId="2F481979" w14:textId="77777777" w:rsidR="00EA323A" w:rsidRDefault="00122B6F">
            <w:pPr>
              <w:spacing w:line="276" w:lineRule="auto"/>
            </w:pPr>
            <w:r>
              <w:rPr>
                <w:sz w:val="22"/>
                <w:szCs w:val="22"/>
              </w:rPr>
              <w:t>2. По завершению работ Подрядчик должен предоставить Заказчику:</w:t>
            </w:r>
          </w:p>
          <w:p w14:paraId="7C060434" w14:textId="77777777" w:rsidR="00EA323A" w:rsidRDefault="00122B6F">
            <w:pPr>
              <w:spacing w:line="276" w:lineRule="auto"/>
            </w:pPr>
            <w:r>
              <w:rPr>
                <w:sz w:val="22"/>
                <w:szCs w:val="22"/>
              </w:rPr>
              <w:t>- акты освидетельствования скрытых работ (в случае их выявления) - на бумажном носителе в количестве 2-х экземпляров;</w:t>
            </w:r>
          </w:p>
          <w:p w14:paraId="0DDC4983" w14:textId="77777777" w:rsidR="00EA323A" w:rsidRDefault="00122B6F">
            <w:pPr>
              <w:spacing w:line="276" w:lineRule="auto"/>
              <w:rPr>
                <w:highlight w:val="white"/>
              </w:rPr>
            </w:pPr>
            <w:r>
              <w:rPr>
                <w:sz w:val="22"/>
                <w:szCs w:val="22"/>
              </w:rPr>
              <w:t xml:space="preserve">- сертификаты на материалы (заверенные копии) - на бумажном носителе в количестве </w:t>
            </w:r>
            <w:r>
              <w:rPr>
                <w:sz w:val="22"/>
                <w:szCs w:val="22"/>
                <w:highlight w:val="white"/>
              </w:rPr>
              <w:t>1 экземпляра;</w:t>
            </w:r>
          </w:p>
          <w:p w14:paraId="56FCDB90" w14:textId="77777777" w:rsidR="00EA323A" w:rsidRDefault="00122B6F">
            <w:pPr>
              <w:spacing w:line="276" w:lineRule="auto"/>
            </w:pPr>
            <w:r>
              <w:rPr>
                <w:sz w:val="22"/>
                <w:szCs w:val="22"/>
              </w:rPr>
              <w:t>- акт выполненных работ (КС-2) - на бумажном и электронном носителе в количестве 2-х экземпляров;</w:t>
            </w:r>
          </w:p>
          <w:p w14:paraId="3D800D43" w14:textId="77777777" w:rsidR="00EA323A" w:rsidRDefault="00122B6F">
            <w:pPr>
              <w:widowControl/>
              <w:spacing w:line="276" w:lineRule="auto"/>
              <w:rPr>
                <w:color w:val="000000"/>
                <w:sz w:val="22"/>
                <w:szCs w:val="22"/>
              </w:rPr>
            </w:pPr>
            <w:r>
              <w:rPr>
                <w:color w:val="000000"/>
                <w:sz w:val="22"/>
                <w:szCs w:val="22"/>
              </w:rPr>
              <w:t>- справка о стоимости выполненных работ и затрат (КС-3) - на бумажном и электронном носителе в количестве 2-х экземпляров.</w:t>
            </w:r>
          </w:p>
          <w:p w14:paraId="74899708" w14:textId="77777777" w:rsidR="00EA323A" w:rsidRDefault="00122B6F">
            <w:pPr>
              <w:widowControl/>
              <w:spacing w:line="276" w:lineRule="auto"/>
              <w:rPr>
                <w:color w:val="000000"/>
                <w:sz w:val="22"/>
                <w:szCs w:val="22"/>
              </w:rPr>
            </w:pPr>
            <w:r>
              <w:rPr>
                <w:color w:val="000000"/>
                <w:sz w:val="22"/>
                <w:szCs w:val="22"/>
              </w:rPr>
              <w:t xml:space="preserve">- общий журнал работ - на бумажном носителе в количестве </w:t>
            </w:r>
            <w:r>
              <w:rPr>
                <w:color w:val="000000"/>
                <w:sz w:val="22"/>
                <w:szCs w:val="22"/>
                <w:highlight w:val="white"/>
              </w:rPr>
              <w:t>1 экземпляра.</w:t>
            </w:r>
          </w:p>
          <w:p w14:paraId="5D7409FC" w14:textId="77777777" w:rsidR="00EA323A" w:rsidRDefault="00122B6F">
            <w:pPr>
              <w:widowControl/>
              <w:spacing w:line="276" w:lineRule="auto"/>
              <w:rPr>
                <w:color w:val="000000"/>
                <w:sz w:val="22"/>
                <w:szCs w:val="22"/>
              </w:rPr>
            </w:pPr>
            <w:r>
              <w:rPr>
                <w:color w:val="000000"/>
                <w:sz w:val="22"/>
                <w:szCs w:val="22"/>
              </w:rPr>
              <w:t xml:space="preserve">3. Работы считаются принятыми после подписания сторонами документа о приемке выполненных работ, Акта о приемке </w:t>
            </w:r>
            <w:r>
              <w:rPr>
                <w:color w:val="000000"/>
                <w:sz w:val="22"/>
                <w:szCs w:val="22"/>
              </w:rPr>
              <w:lastRenderedPageBreak/>
              <w:t>выполненных работ (унифицированная форма КС–2), Справки о стоимости выполненных работ (унифицированная форма КС–3).</w:t>
            </w:r>
          </w:p>
        </w:tc>
      </w:tr>
    </w:tbl>
    <w:p w14:paraId="46218CDF" w14:textId="77777777" w:rsidR="00EA323A" w:rsidRDefault="00EA323A">
      <w:pPr>
        <w:rPr>
          <w:sz w:val="22"/>
          <w:szCs w:val="22"/>
        </w:rPr>
      </w:pPr>
    </w:p>
    <w:p w14:paraId="10262700" w14:textId="77777777" w:rsidR="00EA323A" w:rsidRPr="0062494E" w:rsidRDefault="00122B6F">
      <w:pPr>
        <w:ind w:firstLine="709"/>
        <w:jc w:val="both"/>
        <w:rPr>
          <w:sz w:val="22"/>
          <w:szCs w:val="22"/>
        </w:rPr>
      </w:pPr>
      <w:r w:rsidRPr="0062494E">
        <w:rPr>
          <w:sz w:val="22"/>
          <w:szCs w:val="22"/>
        </w:rPr>
        <w:t>Приложение:</w:t>
      </w:r>
    </w:p>
    <w:p w14:paraId="22B2D244" w14:textId="77777777" w:rsidR="00EA323A" w:rsidRPr="0062494E" w:rsidRDefault="00122B6F">
      <w:pPr>
        <w:framePr w:hSpace="180" w:wrap="around" w:vAnchor="text" w:hAnchor="text" w:y="1"/>
        <w:ind w:firstLine="709"/>
        <w:jc w:val="both"/>
        <w:rPr>
          <w:sz w:val="22"/>
          <w:szCs w:val="22"/>
        </w:rPr>
      </w:pPr>
      <w:r w:rsidRPr="0062494E">
        <w:rPr>
          <w:sz w:val="22"/>
          <w:szCs w:val="22"/>
        </w:rPr>
        <w:t>1. Локальный сметный расчет (смета) Nº 02-01-01 «Кровля»;</w:t>
      </w:r>
    </w:p>
    <w:p w14:paraId="41393513" w14:textId="77777777" w:rsidR="00EA323A" w:rsidRPr="0062494E" w:rsidRDefault="00122B6F">
      <w:pPr>
        <w:framePr w:hSpace="180" w:wrap="around" w:vAnchor="text" w:hAnchor="text" w:y="1"/>
        <w:ind w:firstLine="709"/>
        <w:jc w:val="both"/>
        <w:rPr>
          <w:sz w:val="22"/>
          <w:szCs w:val="22"/>
        </w:rPr>
      </w:pPr>
      <w:r w:rsidRPr="0062494E">
        <w:rPr>
          <w:sz w:val="22"/>
          <w:szCs w:val="22"/>
        </w:rPr>
        <w:t>2. Сводный сметный расчет стоимости строительства Nº 1;</w:t>
      </w:r>
    </w:p>
    <w:p w14:paraId="4AB5E07C" w14:textId="77777777" w:rsidR="00EA323A" w:rsidRPr="0062494E" w:rsidRDefault="00122B6F">
      <w:pPr>
        <w:framePr w:hSpace="180" w:wrap="around" w:vAnchor="text" w:hAnchor="text" w:y="1"/>
        <w:ind w:firstLine="709"/>
        <w:jc w:val="both"/>
        <w:rPr>
          <w:sz w:val="22"/>
          <w:szCs w:val="22"/>
        </w:rPr>
      </w:pPr>
      <w:r w:rsidRPr="0062494E">
        <w:rPr>
          <w:sz w:val="22"/>
          <w:szCs w:val="22"/>
        </w:rPr>
        <w:t>3. Дефектная ведомость “Капитальный ремонт крыши общежития Nº2 ГАПОУ КИПК, расположенного по адресу: г. Клинцы, Брянской области, ул. Ворошилова, 35”;</w:t>
      </w:r>
    </w:p>
    <w:p w14:paraId="3E71D2EF" w14:textId="77777777" w:rsidR="00EA323A" w:rsidRPr="0062494E" w:rsidRDefault="00122B6F">
      <w:pPr>
        <w:pStyle w:val="a5"/>
        <w:numPr>
          <w:ilvl w:val="0"/>
          <w:numId w:val="1"/>
        </w:numPr>
        <w:ind w:left="0" w:firstLine="709"/>
        <w:jc w:val="both"/>
        <w:rPr>
          <w:sz w:val="22"/>
          <w:szCs w:val="22"/>
        </w:rPr>
      </w:pPr>
      <w:r w:rsidRPr="0062494E">
        <w:rPr>
          <w:sz w:val="22"/>
          <w:szCs w:val="22"/>
        </w:rPr>
        <w:t>Ведомость объёмов работ “Капитальный ремонт крыши общежития Nº2 ГАПОУ КИПК, расположенного по адресу: г. Клинцы, Брянской области, ул. Ворошилова, 35”.</w:t>
      </w:r>
    </w:p>
    <w:sectPr w:rsidR="00EA323A" w:rsidRPr="0062494E" w:rsidSect="00EA323A">
      <w:pgSz w:w="11906" w:h="16838"/>
      <w:pgMar w:top="567" w:right="851" w:bottom="567" w:left="1418"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94E75"/>
    <w:multiLevelType w:val="multilevel"/>
    <w:tmpl w:val="30794E75"/>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F19"/>
    <w:rsid w:val="00122B6F"/>
    <w:rsid w:val="0062494E"/>
    <w:rsid w:val="0063456D"/>
    <w:rsid w:val="007301FF"/>
    <w:rsid w:val="00C61415"/>
    <w:rsid w:val="00D422EB"/>
    <w:rsid w:val="00EA323A"/>
    <w:rsid w:val="00F03C92"/>
    <w:rsid w:val="00F42F19"/>
    <w:rsid w:val="00FA6E09"/>
    <w:rsid w:val="0D484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988FB"/>
  <w15:docId w15:val="{73A3161F-2080-4232-AD0D-F2A9C5C3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23A"/>
    <w:pPr>
      <w:widowControl w:val="0"/>
    </w:pPr>
    <w:rPr>
      <w:sz w:val="24"/>
      <w:szCs w:val="24"/>
    </w:rPr>
  </w:style>
  <w:style w:type="paragraph" w:styleId="1">
    <w:name w:val="heading 1"/>
    <w:basedOn w:val="a"/>
    <w:next w:val="a"/>
    <w:uiPriority w:val="9"/>
    <w:qFormat/>
    <w:rsid w:val="00EA323A"/>
    <w:pPr>
      <w:keepNext/>
      <w:keepLines/>
      <w:spacing w:before="480" w:after="200"/>
      <w:outlineLvl w:val="0"/>
    </w:pPr>
    <w:rPr>
      <w:rFonts w:ascii="Arial" w:eastAsia="Arial" w:hAnsi="Arial" w:cs="Arial"/>
      <w:sz w:val="40"/>
      <w:szCs w:val="40"/>
    </w:rPr>
  </w:style>
  <w:style w:type="paragraph" w:styleId="2">
    <w:name w:val="heading 2"/>
    <w:basedOn w:val="a"/>
    <w:next w:val="a"/>
    <w:uiPriority w:val="9"/>
    <w:semiHidden/>
    <w:unhideWhenUsed/>
    <w:qFormat/>
    <w:rsid w:val="00EA323A"/>
    <w:pPr>
      <w:keepNext/>
      <w:keepLines/>
      <w:spacing w:before="360" w:after="200"/>
      <w:outlineLvl w:val="1"/>
    </w:pPr>
    <w:rPr>
      <w:rFonts w:ascii="Arial" w:eastAsia="Arial" w:hAnsi="Arial" w:cs="Arial"/>
      <w:sz w:val="34"/>
      <w:szCs w:val="34"/>
    </w:rPr>
  </w:style>
  <w:style w:type="paragraph" w:styleId="3">
    <w:name w:val="heading 3"/>
    <w:basedOn w:val="a"/>
    <w:next w:val="a"/>
    <w:uiPriority w:val="9"/>
    <w:semiHidden/>
    <w:unhideWhenUsed/>
    <w:qFormat/>
    <w:rsid w:val="00EA323A"/>
    <w:pPr>
      <w:keepNext/>
      <w:keepLines/>
      <w:spacing w:before="320" w:after="200"/>
      <w:outlineLvl w:val="2"/>
    </w:pPr>
    <w:rPr>
      <w:rFonts w:ascii="Arial" w:eastAsia="Arial" w:hAnsi="Arial" w:cs="Arial"/>
      <w:sz w:val="30"/>
      <w:szCs w:val="30"/>
    </w:rPr>
  </w:style>
  <w:style w:type="paragraph" w:styleId="4">
    <w:name w:val="heading 4"/>
    <w:basedOn w:val="a"/>
    <w:next w:val="a"/>
    <w:uiPriority w:val="9"/>
    <w:semiHidden/>
    <w:unhideWhenUsed/>
    <w:qFormat/>
    <w:rsid w:val="00EA323A"/>
    <w:pPr>
      <w:keepNext/>
      <w:keepLines/>
      <w:spacing w:before="320" w:after="200"/>
      <w:outlineLvl w:val="3"/>
    </w:pPr>
    <w:rPr>
      <w:rFonts w:ascii="Arial" w:eastAsia="Arial" w:hAnsi="Arial" w:cs="Arial"/>
      <w:b/>
      <w:sz w:val="26"/>
      <w:szCs w:val="26"/>
    </w:rPr>
  </w:style>
  <w:style w:type="paragraph" w:styleId="5">
    <w:name w:val="heading 5"/>
    <w:basedOn w:val="a"/>
    <w:next w:val="a"/>
    <w:uiPriority w:val="9"/>
    <w:semiHidden/>
    <w:unhideWhenUsed/>
    <w:qFormat/>
    <w:rsid w:val="00EA323A"/>
    <w:pPr>
      <w:keepNext/>
      <w:keepLines/>
      <w:spacing w:before="320" w:after="200"/>
      <w:outlineLvl w:val="4"/>
    </w:pPr>
    <w:rPr>
      <w:rFonts w:ascii="Arial" w:eastAsia="Arial" w:hAnsi="Arial" w:cs="Arial"/>
      <w:b/>
    </w:rPr>
  </w:style>
  <w:style w:type="paragraph" w:styleId="6">
    <w:name w:val="heading 6"/>
    <w:basedOn w:val="a"/>
    <w:next w:val="a"/>
    <w:uiPriority w:val="9"/>
    <w:semiHidden/>
    <w:unhideWhenUsed/>
    <w:qFormat/>
    <w:rsid w:val="00EA323A"/>
    <w:pPr>
      <w:keepNext/>
      <w:keepLines/>
      <w:spacing w:before="320" w:after="200"/>
      <w:outlineLvl w:val="5"/>
    </w:pPr>
    <w:rPr>
      <w:rFonts w:ascii="Arial" w:eastAsia="Arial" w:hAnsi="Arial" w:cs="Arial"/>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EA323A"/>
    <w:pPr>
      <w:spacing w:before="300" w:after="200"/>
    </w:pPr>
    <w:rPr>
      <w:sz w:val="48"/>
      <w:szCs w:val="48"/>
    </w:rPr>
  </w:style>
  <w:style w:type="paragraph" w:styleId="a4">
    <w:name w:val="Subtitle"/>
    <w:basedOn w:val="a"/>
    <w:next w:val="a"/>
    <w:uiPriority w:val="11"/>
    <w:qFormat/>
    <w:rsid w:val="00EA323A"/>
    <w:pPr>
      <w:spacing w:before="200" w:after="200"/>
    </w:pPr>
  </w:style>
  <w:style w:type="table" w:customStyle="1" w:styleId="TableNormal">
    <w:name w:val="Table Normal"/>
    <w:rsid w:val="00EA323A"/>
    <w:tblPr>
      <w:tblCellMar>
        <w:top w:w="0" w:type="dxa"/>
        <w:left w:w="0" w:type="dxa"/>
        <w:bottom w:w="0" w:type="dxa"/>
        <w:right w:w="0" w:type="dxa"/>
      </w:tblCellMar>
    </w:tblPr>
  </w:style>
  <w:style w:type="table" w:customStyle="1" w:styleId="Style12">
    <w:name w:val="_Style 12"/>
    <w:basedOn w:val="TableNormal"/>
    <w:qFormat/>
    <w:rsid w:val="00EA323A"/>
    <w:tblPr>
      <w:tblCellMar>
        <w:top w:w="0" w:type="dxa"/>
        <w:left w:w="115" w:type="dxa"/>
        <w:bottom w:w="0" w:type="dxa"/>
        <w:right w:w="115" w:type="dxa"/>
      </w:tblCellMar>
    </w:tblPr>
  </w:style>
  <w:style w:type="paragraph" w:styleId="a5">
    <w:name w:val="List Paragraph"/>
    <w:basedOn w:val="a"/>
    <w:uiPriority w:val="34"/>
    <w:qFormat/>
    <w:rsid w:val="00EA3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8710011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1750</Words>
  <Characters>9975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upa</dc:creator>
  <cp:lastModifiedBy>Главбух</cp:lastModifiedBy>
  <cp:revision>2</cp:revision>
  <dcterms:created xsi:type="dcterms:W3CDTF">2025-06-16T07:15:00Z</dcterms:created>
  <dcterms:modified xsi:type="dcterms:W3CDTF">2025-06-16T07:15:00Z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4A899215607D4B33B77A227AE28D9D17_12</vt:lpwstr>
  </property>
</Properties>
</file>