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right="310"/>
        <w:jc w:val="center"/>
        <w:rPr>
          <w:rFonts w:ascii="Times New Roman" w:hAnsi="Times New Roman" w:eastAsia="SimSun"/>
          <w:b/>
          <w:color w:val="auto"/>
        </w:rPr>
      </w:pPr>
      <w:r>
        <w:rPr>
          <w:rFonts w:eastAsia="SimSun" w:ascii="Times New Roman" w:hAnsi="Times New Roman"/>
          <w:b/>
          <w:color w:val="auto"/>
        </w:rPr>
        <w:t>ТЕХНИЧЕСКОЕ ЗАДАНИЕ</w:t>
      </w:r>
    </w:p>
    <w:p>
      <w:pPr>
        <w:pStyle w:val="Normal"/>
        <w:spacing w:before="0" w:after="0"/>
        <w:ind w:right="310"/>
        <w:jc w:val="center"/>
        <w:rPr>
          <w:rFonts w:ascii="Times New Roman" w:hAnsi="Times New Roman" w:eastAsia="SimSun"/>
          <w:b/>
          <w:color w:val="auto"/>
        </w:rPr>
      </w:pPr>
      <w:r>
        <w:rPr>
          <w:rFonts w:eastAsia="SimSun" w:ascii="Times New Roman" w:hAnsi="Times New Roman"/>
          <w:b/>
          <w:color w:val="auto"/>
        </w:rPr>
      </w:r>
    </w:p>
    <w:p>
      <w:pPr>
        <w:pStyle w:val="Normal"/>
        <w:spacing w:before="0" w:after="0"/>
        <w:ind w:right="310"/>
        <w:rPr>
          <w:rFonts w:ascii="Times New Roman" w:hAnsi="Times New Roman" w:eastAsia="SimSun"/>
          <w:b/>
          <w:color w:val="auto"/>
        </w:rPr>
      </w:pPr>
      <w:r>
        <w:rPr>
          <w:rFonts w:eastAsia="SimSun" w:ascii="Times New Roman" w:hAnsi="Times New Roman"/>
          <w:b/>
          <w:color w:val="auto"/>
        </w:rPr>
        <w:t>1. Характеристики товара:</w:t>
      </w:r>
    </w:p>
    <w:p>
      <w:pPr>
        <w:pStyle w:val="Normal"/>
        <w:spacing w:before="0" w:after="0"/>
        <w:ind w:left="-567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</w:r>
    </w:p>
    <w:tbl>
      <w:tblPr>
        <w:tblW w:w="5000" w:type="pct"/>
        <w:jc w:val="left"/>
        <w:tblInd w:w="-57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519"/>
        <w:gridCol w:w="2073"/>
        <w:gridCol w:w="1500"/>
        <w:gridCol w:w="4609"/>
        <w:gridCol w:w="716"/>
        <w:gridCol w:w="645"/>
      </w:tblGrid>
      <w:tr>
        <w:trPr>
          <w:trHeight w:val="738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</w:rPr>
              <w:t>п/п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Наименование товара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ОКПД 2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</w:rPr>
              <w:t>Технические характеристики, необходимая документация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Ед. изм.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Кол-во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Теловычислитель ВКТ-9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26.51.63.120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Теловычислитель ВКТ-9-01-с модулем питания.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размеры, мм: не менее 197×145×65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обслуживаемых ТС: не менее от 1 до 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подключаемых преобразователей расхода/объема</w:t>
              <w:tab/>
              <w:t>основных: не менее от 3 до 6 и 3 дополнительных канала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подключаемых преобразователей температуры</w:t>
              <w:tab/>
              <w:t>основных: не менее от 3 до 6 и 1 (2) дополнительных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подключаемых преобразователей давления основных: не менее от 3 до 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дискретных входов: не менее 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шт.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Щит для ВКТ9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27.12.31.000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Шкаф монтажный ШМ9 (шкаф)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защиты корпуса: не менее IP55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Напряжение питания, В: от сети переменного тока не менее 220+22/-33В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Габаритные размеры, мм: не менее 400х500х210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67" w:leader="none"/>
              </w:tabs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(в комплекте с блоками питания 24в для ВКТ и 12в для расходомера) Документация: паспорт.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Модем GSM iRZ ATM21 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26.30.11.150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Модем GSM iRZ ATM21 или эквивалент.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Антенна AG11 5,5 dbi: наличие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рабочих частот: не менее 850/900/1800/1900 МГц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Выходная мощность передатчика: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частоте 850/900 МГц не менее 2 Вт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 частоте 1800/1900 МГц не менее 1 Вт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Технологии передачи данных: GPRS CSD SMS USSD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RS232: наличие БП встроен Документация: инструкция эксплуатации оборудования.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Расходомер МастерФлоу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26.51.63.120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Тип: Расходомер МастерФлоу или эквивалент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Ду: не менее 32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Класс точности: не ниже 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Исполнение: фланцевое, с блоком индикации и архивом.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Преобразователь давления  "Коммуналец" СДВ-И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26.51.65.000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Преобразователь давления  "Коммуналец" СДВ-И-М-М20х1,5,кл.т.0,5% или эквивалент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Предел измерений: не менее 1,0 Мпа.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Термопреобразователь ТСП-Н, в комплекте с гильзой защитной и бобышкой приванрной.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26.51.52.130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(О,П)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Термопреобразователь ТСП-Н,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Схема подключения: не менее 4х проводная, Pt100, L60,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точности: не ниже 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Гильза защитная: ТНИВ.301116.005-04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L-60.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Бобышки приварные исполнения Б.П.1, Прямая,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30мм М20х1,5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Термопреобразователь ТСП-Н, в комплекте с гильзой защитной и бобышкой приванрной.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26.51.52.130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(О,П)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Термопреобразователь ТСП-Н,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схема подключения: не менее 4х проводная, Pt100, L80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точности: не ниже 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Гильза защитная: ТНИВ.301116.005-04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L-80.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Бобышки приварные исполнения Б.П.1,Прямая,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не менее 30мм М20х1,5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Кран трехходовой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28.14.13.131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Кран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трехходовой 11б18бк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15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Ру: не менее 16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Диаметр присоединения: не менее М20*1,5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Вентиль ДУ 15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28.14.13.131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Вентиль VALTEC или эквивалент</w:t>
            </w:r>
          </w:p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15 мм</w:t>
            </w:r>
          </w:p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прямоточный запорно-регулировочный вентиль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Вентиль ДУ 20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28.14.13.131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Вентиль VALTEC</w:t>
            </w:r>
          </w:p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20 мм</w:t>
            </w:r>
          </w:p>
          <w:p>
            <w:pPr>
              <w:pStyle w:val="Normal"/>
              <w:widowControl w:val="false"/>
              <w:spacing w:before="0" w:after="0"/>
              <w:ind w:right="-525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прямоточный запорно-регулировочный вентиль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Манометр показывающий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26.51.52.130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(О,П)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Манометр показывающий МП100М-1,6МПа.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Диаметр корпуса: не менее 100 мм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точности: не менее 1,5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Диапазон давления: не менее от 0 до 1,6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пылевлагозащиты: не менее IP40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Расположение штуцера: радиальный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Документация: паспорт с отметкой о проведении государственной поверки, инструкция эксплуатации оборудования.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Сгон под приварку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24.20.40.000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Сгон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под приварку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15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Сгон под приварку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24.20.40.000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Сгон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под приварку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20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Клапан обратный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NK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CBI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или эквивалент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28.14.11.131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Клапан обратный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присоединения: межфланцевый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клапана: двухстворчатый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материала корпуса: чугун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50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Клапан обратный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NK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CBI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28.14.11.131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Клапан обратный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присоединения: межфланцевый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клапана: двухстворчатый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Класс материала корпуса: чугун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80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 присоединительной арматуры ТЭМ-ДП1-32-50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24.20.40.000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прямой участок до прибора 2Ду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Комплектация, не менее: болты, гайки, шайбы, прокладки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Комплект  присоединительной арматуры ТЭМ-ДП1-32-80 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24.20.40.000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прямой участок до прибора 2Ду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Комплектация, не менее: болты, гайки, шайбы, прокладки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шт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Кабель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3х1,5 </w:t>
            </w:r>
            <w:r>
              <w:rPr>
                <w:sz w:val="20"/>
                <w:szCs w:val="20"/>
              </w:rPr>
              <w:t>для прокладки линий электроэнергии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27.32.13.111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ПВС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Материал: медь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Изоляция: ПВХ-пластикат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 оболочки: ПВХ-пластикат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Цвет: белый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жил: не менее 3 шт</w:t>
            </w:r>
          </w:p>
          <w:p>
            <w:pPr>
              <w:pStyle w:val="Style19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Сечение жилы кабеля: не менее 1.5 мм²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Структура жилы: МП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Кабель для прокладки сигнальных линий температуры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27.32.13.111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Кабель экранированный кмм 4х0,35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Сечение, мм²: не менее 0,35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жил: не менее 4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жилы: Медь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изоляции: ПВХ платискат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Экран: наличие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Кабель для прокладки сигнальных линий расходов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27.32.13.111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(О)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Кабель экранированный  кмм 2х0,35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Сечение, мм²: не менее 0,35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Количество жил: не менее 2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жилы: Медь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Материал изоляции: ПВХ платискат</w:t>
            </w:r>
          </w:p>
          <w:p>
            <w:pPr>
              <w:pStyle w:val="Style19"/>
              <w:widowControl w:val="fals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Экран: наличие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Гофра пластиковая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27.90.12.130</w:t>
            </w:r>
          </w:p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труба гибкая гофрированная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Материал: ПВХ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Внешний диаметр: не менее 16 мм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Внутренний диаметр: не менее 11.5 мм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защиты: не менее 55 IP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16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крепления: наличие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</w:t>
            </w:r>
          </w:p>
        </w:tc>
      </w:tr>
      <w:tr>
        <w:trPr>
          <w:trHeight w:val="227" w:hRule="atLeast"/>
        </w:trPr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Металлорукав для прокладки линий электроэнергии</w:t>
            </w: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27.90.12.130</w:t>
            </w:r>
          </w:p>
          <w:p>
            <w:pPr>
              <w:pStyle w:val="BodyText"/>
              <w:widowControl w:val="false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(П)</w:t>
            </w:r>
          </w:p>
        </w:tc>
        <w:tc>
          <w:tcPr>
            <w:tcW w:w="4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Тип: металлорукав в изоляции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Вид: гибкий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Материал: оцинкованная сталь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Изоляция: ПВХ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Степень защиты: не менее 65 IP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ДУ: не менее 16</w:t>
            </w:r>
          </w:p>
          <w:p>
            <w:pPr>
              <w:pStyle w:val="BodyText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Комплект крепления: наличие</w:t>
            </w:r>
          </w:p>
        </w:tc>
        <w:tc>
          <w:tcPr>
            <w:tcW w:w="7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</w:t>
            </w:r>
          </w:p>
        </w:tc>
      </w:tr>
    </w:tbl>
    <w:p>
      <w:pPr>
        <w:pStyle w:val="Normal"/>
        <w:spacing w:before="0" w:after="0"/>
        <w:ind w:hanging="567"/>
        <w:rPr>
          <w:rFonts w:ascii="Times New Roman" w:hAnsi="Times New Roman"/>
          <w:b/>
          <w:shd w:fill="F9FAFB" w:val="clear"/>
        </w:rPr>
      </w:pPr>
      <w:r>
        <w:rPr>
          <w:rFonts w:ascii="Times New Roman" w:hAnsi="Times New Roman"/>
          <w:b/>
          <w:shd w:fill="F9FAFB" w:val="clear"/>
        </w:rPr>
      </w:r>
    </w:p>
    <w:p>
      <w:pPr>
        <w:pStyle w:val="Normal"/>
        <w:spacing w:before="0" w:after="0"/>
        <w:ind w:firstLine="709" w:left="-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hd w:fill="auto" w:val="clear"/>
        </w:rPr>
        <w:t xml:space="preserve">2. Место поставки и монтажа: </w:t>
      </w:r>
      <w:r>
        <w:rPr>
          <w:rFonts w:ascii="Times New Roman" w:hAnsi="Times New Roman"/>
          <w:bCs/>
          <w:shd w:fill="auto" w:val="clear"/>
        </w:rPr>
        <w:t>169908, Республика Коми, г Воркута, ул Ленина, д. 60</w:t>
      </w:r>
    </w:p>
    <w:p>
      <w:pPr>
        <w:pStyle w:val="Normal"/>
        <w:spacing w:before="0" w:after="0"/>
        <w:ind w:firstLine="709" w:left="-567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b/>
          <w:shd w:fill="auto" w:val="clear"/>
        </w:rPr>
        <w:t xml:space="preserve">3. Срок поставки и монтажа: </w:t>
      </w:r>
      <w:r>
        <w:rPr>
          <w:rFonts w:ascii="Times New Roman" w:hAnsi="Times New Roman"/>
          <w:bCs/>
          <w:shd w:fill="auto" w:val="clear"/>
        </w:rPr>
        <w:t>в течение 30 календарных дней с момента заключения договора.</w:t>
      </w:r>
    </w:p>
    <w:p>
      <w:pPr>
        <w:pStyle w:val="Normal"/>
        <w:spacing w:before="0" w:after="0"/>
        <w:ind w:firstLine="709" w:left="-567"/>
        <w:jc w:val="both"/>
        <w:rPr>
          <w:highlight w:val="none"/>
          <w:shd w:fill="auto" w:val="clear"/>
        </w:rPr>
      </w:pPr>
      <w:r>
        <w:rPr>
          <w:rFonts w:eastAsia="NSimSun" w:ascii="Times New Roman" w:hAnsi="Times New Roman"/>
          <w:shd w:fill="auto" w:val="clear"/>
        </w:rPr>
        <w:t>3.1. Доставка, погрузочно-разгрузочные работы производятся за счет Поставщика.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4. Требования к качеству, безопасности товара: 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eastAsia="DejaVu Sans"/>
          <w:b/>
          <w:lang w:eastAsia="zh-CN"/>
        </w:rPr>
      </w:pPr>
      <w:r>
        <w:rPr>
          <w:rFonts w:eastAsia="NSimSun" w:ascii="Times New Roman" w:hAnsi="Times New Roman"/>
        </w:rPr>
        <w:t xml:space="preserve">4.1. Поставляемый товар должен соответствовать заданным функциональным и качественным характеристикам; 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/>
          <w:b/>
        </w:rPr>
      </w:pPr>
      <w:r>
        <w:rPr>
          <w:rFonts w:eastAsia="NSimSun" w:ascii="Times New Roman" w:hAnsi="Times New Roman"/>
        </w:rPr>
        <w:t xml:space="preserve">4.2. Поставляемый товар должен быть разрешен к использованию на территории Российской Федерации, </w:t>
      </w:r>
      <w:r>
        <w:rPr>
          <w:rFonts w:eastAsia="NSimSun" w:ascii="Times New Roman" w:hAnsi="Times New Roman"/>
          <w:spacing w:val="-1"/>
        </w:rPr>
        <w:t xml:space="preserve">иметь торговую </w:t>
      </w:r>
      <w:r>
        <w:rPr>
          <w:rFonts w:eastAsia="NSimSun" w:ascii="Times New Roman" w:hAnsi="Times New Roman"/>
        </w:rPr>
        <w:t>марку и товарный знак, качество поставляемого товара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декларациям о соответствии и (или) другим документам, подтверждающим качество товара);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eastAsia="NSimSun"/>
          <w:b/>
        </w:rPr>
      </w:pPr>
      <w:r>
        <w:rPr>
          <w:rFonts w:eastAsia="NSimSun" w:ascii="Times New Roman" w:hAnsi="Times New Roman"/>
        </w:rPr>
        <w:t>4.3. Поставляемый Товар должен являться новым, ранее не использованным (все составные части Товара должны быть новыми), не должен иметь дефектов, связанных с конструкцией, материалами или функционированием при штатном их использовании;</w:t>
      </w:r>
    </w:p>
    <w:p>
      <w:pPr>
        <w:pStyle w:val="Normal"/>
        <w:widowControl w:val="false"/>
        <w:shd w:val="clear" w:color="auto" w:fill="FFFFFF"/>
        <w:tabs>
          <w:tab w:val="clear" w:pos="708"/>
          <w:tab w:val="left" w:pos="0" w:leader="none"/>
        </w:tabs>
        <w:spacing w:before="0" w:after="0"/>
        <w:ind w:firstLine="709" w:left="-567"/>
        <w:jc w:val="both"/>
        <w:rPr>
          <w:rFonts w:ascii="Times New Roman" w:hAnsi="Times New Roman" w:eastAsia="DejaVu Sans"/>
          <w:b/>
        </w:rPr>
      </w:pPr>
      <w:r>
        <w:rPr>
          <w:rFonts w:eastAsia="NSimSun" w:ascii="Times New Roman" w:hAnsi="Times New Roman"/>
        </w:rPr>
        <w:t>4.4. На товаре не должно быть следов механических повреждений, изменений вида комплектующих;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eastAsia="DejaVu Sans"/>
          <w:b/>
        </w:rPr>
      </w:pPr>
      <w:r>
        <w:rPr>
          <w:rFonts w:eastAsia="NSimSun" w:ascii="Times New Roman" w:hAnsi="Times New Roman"/>
        </w:rPr>
        <w:t>4.5.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eastAsia="NSimSun"/>
          <w:b/>
        </w:rPr>
      </w:pPr>
      <w:r>
        <w:rPr>
          <w:rFonts w:eastAsia="NSimSun" w:ascii="Times New Roman" w:hAnsi="Times New Roman"/>
        </w:rPr>
        <w:t>4.6.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4.7. Гарантийные обязательства должны распространяться на каждую единицу товара с момента приемки товара Заказчиком</w:t>
      </w:r>
      <w:r>
        <w:rPr>
          <w:rFonts w:ascii="Times New Roman" w:hAnsi="Times New Roman"/>
          <w:shd w:fill="auto" w:val="clear"/>
        </w:rPr>
        <w:t>. Гарантийный срок составляет не менее срока указанного заводом изготовителем (производителем). В течение гарантийного срока обнаруженные недостатки товара подлежат устранению силами и средствами Поставщика;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 w:eastAsia="DejaVu Sans"/>
          <w:b/>
        </w:rPr>
      </w:pPr>
      <w:r>
        <w:rPr>
          <w:rFonts w:ascii="Times New Roman" w:hAnsi="Times New Roman"/>
        </w:rPr>
        <w:t>4.8. Поставляемые Товары должны быть совместимы между собой и обеспечивать совместное бесперебойное функционирование.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5. Требования к упаковке, маркировке товара: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 w:left="-567"/>
        <w:jc w:val="both"/>
        <w:rPr>
          <w:rFonts w:ascii="Times New Roman" w:hAnsi="Times New Roman" w:eastAsia="DejaVu Sans"/>
          <w:b/>
          <w:lang w:eastAsia="zh-CN"/>
        </w:rPr>
      </w:pPr>
      <w:r>
        <w:rPr>
          <w:rFonts w:eastAsia="NSimSun" w:ascii="Times New Roman" w:hAnsi="Times New Roman"/>
        </w:rPr>
        <w:t>5.1. Товар поставляется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</w:p>
    <w:p>
      <w:pPr>
        <w:pStyle w:val="Normal"/>
        <w:spacing w:before="0" w:after="0"/>
        <w:ind w:firstLine="709" w:left="-567"/>
        <w:jc w:val="both"/>
        <w:rPr>
          <w:rFonts w:ascii="Times New Roman" w:hAnsi="Times New Roman"/>
          <w:b/>
        </w:rPr>
      </w:pPr>
      <w:r>
        <w:rPr>
          <w:rFonts w:eastAsia="NSimSun" w:ascii="Times New Roman" w:hAnsi="Times New Roman"/>
        </w:rPr>
        <w:t>5.2. 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 w:left="-567"/>
        <w:jc w:val="both"/>
        <w:rPr>
          <w:rFonts w:ascii="Times New Roman" w:hAnsi="Times New Roman" w:eastAsia="NSimSun"/>
          <w:b/>
        </w:rPr>
      </w:pPr>
      <w:r>
        <w:rPr>
          <w:rFonts w:eastAsia="NSimSun" w:ascii="Times New Roman" w:hAnsi="Times New Roman"/>
        </w:rPr>
        <w:t>5.3. Поставщик обязуется обеспечить надлежащий температурный режим, необходимый для соблюдения соответствующих условий транспортировки товара;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 w:left="-567"/>
        <w:jc w:val="both"/>
        <w:rPr>
          <w:rFonts w:ascii="Times New Roman" w:hAnsi="Times New Roman" w:eastAsia="NSimSun"/>
          <w:b/>
        </w:rPr>
      </w:pPr>
      <w:r>
        <w:rPr>
          <w:rFonts w:eastAsia="NSimSun" w:ascii="Times New Roman" w:hAnsi="Times New Roman"/>
        </w:rPr>
        <w:t>5.4. Поставщик несет ответственность за ненадлежащую упаковку, не обеспечивающую сохранность товара при его хранении и транспортировании;</w:t>
      </w:r>
    </w:p>
    <w:p>
      <w:pPr>
        <w:pStyle w:val="Normal"/>
        <w:tabs>
          <w:tab w:val="clear" w:pos="708"/>
          <w:tab w:val="left" w:pos="0" w:leader="none"/>
        </w:tabs>
        <w:spacing w:before="0" w:after="0"/>
        <w:ind w:firstLine="709" w:left="-567"/>
        <w:jc w:val="both"/>
        <w:rPr>
          <w:rFonts w:ascii="Times New Roman" w:hAnsi="Times New Roman" w:eastAsia="NSimSun"/>
          <w:b/>
        </w:rPr>
      </w:pPr>
      <w:r>
        <w:rPr>
          <w:rFonts w:eastAsia="NSimSun" w:ascii="Times New Roman" w:hAnsi="Times New Roman"/>
        </w:rPr>
        <w:t>5.5. Упаковка и маркировка товара должна соответствовать требованиям ГОСТ, импортный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</w:p>
    <w:p>
      <w:pPr>
        <w:pStyle w:val="Normal"/>
        <w:tabs>
          <w:tab w:val="clear" w:pos="708"/>
          <w:tab w:val="left" w:pos="-851" w:leader="none"/>
        </w:tabs>
        <w:spacing w:before="0" w:after="0"/>
        <w:ind w:firstLine="709" w:left="-567"/>
        <w:jc w:val="both"/>
        <w:rPr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hd w:fill="auto" w:val="clear"/>
          <w:lang w:eastAsia="ar-SA"/>
        </w:rPr>
        <w:t>6. Сроки оплаты товара:</w:t>
      </w:r>
    </w:p>
    <w:p>
      <w:pPr>
        <w:pStyle w:val="Normal"/>
        <w:tabs>
          <w:tab w:val="clear" w:pos="708"/>
          <w:tab w:val="left" w:pos="-851" w:leader="none"/>
        </w:tabs>
        <w:spacing w:before="0" w:after="0"/>
        <w:ind w:firstLine="709" w:left="-567"/>
        <w:jc w:val="both"/>
        <w:rPr>
          <w:highlight w:val="none"/>
          <w:shd w:fill="auto" w:val="clear"/>
        </w:rPr>
      </w:pPr>
      <w:bookmarkStart w:id="0" w:name="_Hlk188620396"/>
      <w:r>
        <w:rPr>
          <w:rFonts w:eastAsia="Times New Roman" w:ascii="Times New Roman" w:hAnsi="Times New Roman"/>
          <w:shd w:fill="auto" w:val="clear"/>
          <w:lang w:eastAsia="ar-SA"/>
        </w:rPr>
        <w:t>Оплата Товара производится по факту поставки товара Поставщиком безналичным расчетом, путем перечисления денежных средств на расчетный счет Поставщика, в течение 7 (семи) рабочих дней после предъявления Поставщиком счета, счета-фактуры (при наличии), товарных накладных и подписания обеими сторонами товарных накладных (или УПД).</w:t>
      </w:r>
      <w:bookmarkEnd w:id="0"/>
    </w:p>
    <w:sectPr>
      <w:type w:val="nextPage"/>
      <w:pgSz w:w="11906" w:h="16838"/>
      <w:pgMar w:left="993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Arial">
    <w:charset w:val="cc"/>
    <w:family w:val="roman"/>
    <w:pitch w:val="variable"/>
  </w:font>
  <w:font w:name="Tahoma">
    <w:charset w:val="cc"/>
    <w:family w:val="roman"/>
    <w:pitch w:val="variable"/>
  </w:font>
  <w:font w:name="Helvetica Neue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7800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657800"/>
    <w:pPr>
      <w:keepNext w:val="true"/>
      <w:keepLines/>
      <w:spacing w:before="240" w:after="0"/>
      <w:outlineLvl w:val="0"/>
    </w:pPr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paragraph" w:styleId="Heading2">
    <w:name w:val="Heading 2"/>
    <w:basedOn w:val="Normal"/>
    <w:next w:val="Normal"/>
    <w:link w:val="21"/>
    <w:uiPriority w:val="9"/>
    <w:semiHidden/>
    <w:unhideWhenUsed/>
    <w:qFormat/>
    <w:rsid w:val="00657800"/>
    <w:pPr>
      <w:keepNext w:val="true"/>
      <w:keepLines/>
      <w:spacing w:before="200" w:after="0"/>
      <w:outlineLvl w:val="1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657800"/>
    <w:pPr>
      <w:keepNext w:val="true"/>
      <w:keepLines/>
      <w:spacing w:before="200" w:after="0"/>
      <w:outlineLvl w:val="2"/>
    </w:pPr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57800"/>
    <w:pPr>
      <w:keepNext w:val="true"/>
      <w:keepLines/>
      <w:spacing w:before="200" w:after="0"/>
      <w:outlineLvl w:val="3"/>
    </w:pPr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657800"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rsid w:val="00657800"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rsid w:val="00657800"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rsid w:val="00657800"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rsid w:val="00657800"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657800"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sid w:val="00657800"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sid w:val="00657800"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basedOn w:val="DefaultParagraphFont"/>
    <w:uiPriority w:val="9"/>
    <w:qFormat/>
    <w:rsid w:val="00657800"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sid w:val="00657800"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sid w:val="00657800"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sid w:val="00657800"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sid w:val="00657800"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sid w:val="00657800"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sid w:val="00657800"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sid w:val="00657800"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sid w:val="00657800"/>
    <w:rPr>
      <w:i/>
    </w:rPr>
  </w:style>
  <w:style w:type="character" w:styleId="Style7" w:customStyle="1">
    <w:name w:val="Выделенная цитата Знак"/>
    <w:link w:val="IntenseQuote"/>
    <w:uiPriority w:val="30"/>
    <w:qFormat/>
    <w:rsid w:val="00657800"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sid w:val="00657800"/>
    <w:rPr/>
  </w:style>
  <w:style w:type="character" w:styleId="FooterChar" w:customStyle="1">
    <w:name w:val="Footer Char"/>
    <w:basedOn w:val="DefaultParagraphFont"/>
    <w:uiPriority w:val="99"/>
    <w:qFormat/>
    <w:rsid w:val="00657800"/>
    <w:rPr/>
  </w:style>
  <w:style w:type="character" w:styleId="Style9" w:customStyle="1">
    <w:name w:val="Нижний колонтитул Знак"/>
    <w:uiPriority w:val="99"/>
    <w:qFormat/>
    <w:rsid w:val="00657800"/>
    <w:rPr/>
  </w:style>
  <w:style w:type="character" w:styleId="Style10" w:customStyle="1">
    <w:name w:val="Текст сноски Знак"/>
    <w:uiPriority w:val="99"/>
    <w:qFormat/>
    <w:rsid w:val="00657800"/>
    <w:rPr>
      <w:sz w:val="18"/>
    </w:rPr>
  </w:style>
  <w:style w:type="character" w:styleId="Style11">
    <w:name w:val="Символ сноски"/>
    <w:uiPriority w:val="99"/>
    <w:unhideWhenUsed/>
    <w:qFormat/>
    <w:rsid w:val="00657800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uiPriority w:val="99"/>
    <w:qFormat/>
    <w:rsid w:val="00657800"/>
    <w:rPr>
      <w:sz w:val="20"/>
    </w:rPr>
  </w:style>
  <w:style w:type="character" w:styleId="Style13">
    <w:name w:val="Символ концевой сноски"/>
    <w:uiPriority w:val="99"/>
    <w:semiHidden/>
    <w:unhideWhenUsed/>
    <w:qFormat/>
    <w:rsid w:val="00657800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657800"/>
    <w:rPr>
      <w:rFonts w:ascii="Calibri Light" w:hAnsi="Calibri Light" w:eastAsia="Arial" w:cs="Arial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57800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57800"/>
    <w:rPr>
      <w:rFonts w:ascii="Tahoma" w:hAnsi="Tahoma" w:eastAsia="Calibri" w:cs="Tahoma"/>
      <w:color w:val="00000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57800"/>
    <w:rPr>
      <w:color w:themeColor="followedHyperlink" w:val="954F72"/>
      <w:u w:val="single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57800"/>
    <w:rPr>
      <w:rFonts w:ascii="Calibri Light" w:hAnsi="Calibri Light" w:eastAsia="Arial" w:cs="Arial" w:asciiTheme="majorHAnsi" w:cstheme="majorBidi" w:eastAsiaTheme="majorEastAsia" w:hAnsiTheme="majorHAnsi"/>
      <w:b/>
      <w:bCs/>
      <w:i/>
      <w:iCs/>
      <w:color w:themeColor="accent1" w:val="5B9BD5"/>
    </w:rPr>
  </w:style>
  <w:style w:type="character" w:styleId="E1ckvoeh1" w:customStyle="1">
    <w:name w:val="e1ckvoeh1"/>
    <w:basedOn w:val="DefaultParagraphFont"/>
    <w:qFormat/>
    <w:rsid w:val="00657800"/>
    <w:rPr/>
  </w:style>
  <w:style w:type="character" w:styleId="E1ckvoeh0" w:customStyle="1">
    <w:name w:val="e1ckvoeh0"/>
    <w:basedOn w:val="DefaultParagraphFont"/>
    <w:qFormat/>
    <w:rsid w:val="00657800"/>
    <w:rPr/>
  </w:style>
  <w:style w:type="character" w:styleId="Characteristic-value" w:customStyle="1">
    <w:name w:val="characteristic-value"/>
    <w:basedOn w:val="DefaultParagraphFont"/>
    <w:qFormat/>
    <w:rsid w:val="00657800"/>
    <w:rPr/>
  </w:style>
  <w:style w:type="character" w:styleId="Strong">
    <w:name w:val="Strong"/>
    <w:basedOn w:val="DefaultParagraphFont"/>
    <w:uiPriority w:val="22"/>
    <w:qFormat/>
    <w:rsid w:val="00657800"/>
    <w:rPr>
      <w:b/>
      <w:bCs/>
    </w:rPr>
  </w:style>
  <w:style w:type="character" w:styleId="Typography" w:customStyle="1">
    <w:name w:val="typography"/>
    <w:basedOn w:val="DefaultParagraphFont"/>
    <w:qFormat/>
    <w:rsid w:val="00657800"/>
    <w:rPr/>
  </w:style>
  <w:style w:type="character" w:styleId="21" w:customStyle="1">
    <w:name w:val="Заголовок 2 Знак"/>
    <w:basedOn w:val="DefaultParagraphFont"/>
    <w:uiPriority w:val="9"/>
    <w:semiHidden/>
    <w:qFormat/>
    <w:rsid w:val="00657800"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  <w:sz w:val="26"/>
      <w:szCs w:val="26"/>
    </w:rPr>
  </w:style>
  <w:style w:type="character" w:styleId="Prop-nameinner" w:customStyle="1">
    <w:name w:val="prop-name__inner"/>
    <w:basedOn w:val="DefaultParagraphFont"/>
    <w:qFormat/>
    <w:rsid w:val="00657800"/>
    <w:rPr/>
  </w:style>
  <w:style w:type="character" w:styleId="Prop-specinner" w:customStyle="1">
    <w:name w:val="prop-spec__inner"/>
    <w:basedOn w:val="DefaultParagraphFont"/>
    <w:qFormat/>
    <w:rsid w:val="00657800"/>
    <w:rPr/>
  </w:style>
  <w:style w:type="character" w:styleId="Qshczy" w:customStyle="1">
    <w:name w:val="qshczy"/>
    <w:basedOn w:val="DefaultParagraphFont"/>
    <w:qFormat/>
    <w:rsid w:val="00657800"/>
    <w:rPr/>
  </w:style>
  <w:style w:type="character" w:styleId="Style15" w:customStyle="1">
    <w:name w:val="Основной текст Знак"/>
    <w:basedOn w:val="DefaultParagraphFont"/>
    <w:qFormat/>
    <w:rsid w:val="00657800"/>
    <w:rPr>
      <w:rFonts w:ascii="Helvetica Neue" w:hAnsi="Helvetica Neue" w:eastAsia="Helvetica Neue" w:cs="Helvetica Neue"/>
      <w:color w:val="000000"/>
      <w:lang w:eastAsia="ru-RU"/>
    </w:rPr>
  </w:style>
  <w:style w:type="character" w:styleId="1urdg" w:customStyle="1">
    <w:name w:val="_1urdg"/>
    <w:basedOn w:val="DefaultParagraphFont"/>
    <w:qFormat/>
    <w:rsid w:val="00657800"/>
    <w:rPr/>
  </w:style>
  <w:style w:type="character" w:styleId="2nzvf" w:customStyle="1">
    <w:name w:val="_2nzvf"/>
    <w:basedOn w:val="DefaultParagraphFont"/>
    <w:qFormat/>
    <w:rsid w:val="00657800"/>
    <w:rPr/>
  </w:style>
  <w:style w:type="character" w:styleId="2llek" w:customStyle="1">
    <w:name w:val="_2llek"/>
    <w:basedOn w:val="DefaultParagraphFont"/>
    <w:qFormat/>
    <w:rsid w:val="00657800"/>
    <w:rPr/>
  </w:style>
  <w:style w:type="character" w:styleId="Property-name" w:customStyle="1">
    <w:name w:val="property-name"/>
    <w:basedOn w:val="DefaultParagraphFont"/>
    <w:qFormat/>
    <w:rsid w:val="00657800"/>
    <w:rPr/>
  </w:style>
  <w:style w:type="character" w:styleId="Qaqct" w:customStyle="1">
    <w:name w:val="qaqct"/>
    <w:basedOn w:val="DefaultParagraphFont"/>
    <w:qFormat/>
    <w:rsid w:val="00657800"/>
    <w:rPr/>
  </w:style>
  <w:style w:type="character" w:styleId="Dynatree-title" w:customStyle="1">
    <w:name w:val="dynatree-title"/>
    <w:basedOn w:val="DefaultParagraphFont"/>
    <w:qFormat/>
    <w:rsid w:val="00657800"/>
    <w:rPr/>
  </w:style>
  <w:style w:type="character" w:styleId="1ooc" w:customStyle="1">
    <w:name w:val="_1oo_c"/>
    <w:basedOn w:val="DefaultParagraphFont"/>
    <w:qFormat/>
    <w:rsid w:val="00657800"/>
    <w:rPr/>
  </w:style>
  <w:style w:type="character" w:styleId="1ebon" w:customStyle="1">
    <w:name w:val="_1ebon"/>
    <w:basedOn w:val="DefaultParagraphFont"/>
    <w:qFormat/>
    <w:rsid w:val="00657800"/>
    <w:rPr/>
  </w:style>
  <w:style w:type="character" w:styleId="Ywvl7" w:customStyle="1">
    <w:name w:val="ywvl7"/>
    <w:basedOn w:val="DefaultParagraphFont"/>
    <w:qFormat/>
    <w:rsid w:val="00657800"/>
    <w:rPr/>
  </w:style>
  <w:style w:type="character" w:styleId="3" w:customStyle="1">
    <w:name w:val="Заголовок 3 Знак"/>
    <w:basedOn w:val="DefaultParagraphFont"/>
    <w:uiPriority w:val="9"/>
    <w:semiHidden/>
    <w:qFormat/>
    <w:rsid w:val="00657800"/>
    <w:rPr>
      <w:rFonts w:ascii="Calibri Light" w:hAnsi="Calibri Light" w:eastAsia="Arial" w:cs="Arial" w:asciiTheme="majorHAnsi" w:cstheme="majorBidi" w:eastAsiaTheme="majorEastAsia" w:hAnsiTheme="majorHAnsi"/>
      <w:b/>
      <w:bCs/>
      <w:color w:themeColor="accent1" w:val="5B9BD5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b3235"/>
    <w:rPr>
      <w:color w:val="605E5C"/>
      <w:shd w:fill="E1DFDD" w:val="clear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link w:val="Style15"/>
    <w:rsid w:val="00657800"/>
    <w:pPr>
      <w:widowControl/>
      <w:suppressAutoHyphens w:val="true"/>
      <w:bidi w:val="0"/>
      <w:spacing w:lineRule="auto" w:line="240" w:before="0" w:after="0"/>
      <w:jc w:val="left"/>
    </w:pPr>
    <w:rPr>
      <w:rFonts w:ascii="Helvetica Neue" w:hAnsi="Helvetica Neue" w:eastAsia="Helvetica Neue" w:cs="Helvetica Neue"/>
      <w:color w:val="000000"/>
      <w:kern w:val="0"/>
      <w:sz w:val="22"/>
      <w:szCs w:val="22"/>
      <w:lang w:val="ru-RU" w:eastAsia="ru-RU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Style5"/>
    <w:uiPriority w:val="10"/>
    <w:qFormat/>
    <w:rsid w:val="00657800"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rsid w:val="00657800"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rsid w:val="00657800"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rsid w:val="0065780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Style18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rsid w:val="0065780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rsid w:val="00657800"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Caption1">
    <w:name w:val="caption1"/>
    <w:basedOn w:val="Normal"/>
    <w:next w:val="Normal"/>
    <w:uiPriority w:val="35"/>
    <w:semiHidden/>
    <w:unhideWhenUsed/>
    <w:qFormat/>
    <w:rsid w:val="00657800"/>
    <w:pPr/>
    <w:rPr>
      <w:b/>
      <w:bCs/>
      <w:color w:themeColor="accent1" w:val="5B9BD5"/>
      <w:sz w:val="18"/>
      <w:szCs w:val="18"/>
    </w:rPr>
  </w:style>
  <w:style w:type="paragraph" w:styleId="FootnoteText">
    <w:name w:val="Footnote Text"/>
    <w:basedOn w:val="Normal"/>
    <w:link w:val="Style10"/>
    <w:uiPriority w:val="99"/>
    <w:semiHidden/>
    <w:unhideWhenUsed/>
    <w:rsid w:val="00657800"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2"/>
    <w:uiPriority w:val="99"/>
    <w:semiHidden/>
    <w:unhideWhenUsed/>
    <w:rsid w:val="00657800"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657800"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rsid w:val="00657800"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rsid w:val="00657800"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rsid w:val="00657800"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rsid w:val="00657800"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rsid w:val="00657800"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rsid w:val="00657800"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rsid w:val="00657800"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rsid w:val="00657800"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rsid w:val="00657800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rsid w:val="00657800"/>
    <w:pPr>
      <w:spacing w:before="0" w:after="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57800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657800"/>
    <w:pPr>
      <w:spacing w:lineRule="auto" w:line="240" w:beforeAutospacing="1" w:afterAutospacing="1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657800"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rsid w:val="00657800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ru-RU" w:eastAsia="ru-RU" w:bidi="ar-SA"/>
    </w:rPr>
  </w:style>
  <w:style w:type="paragraph" w:styleId="Detailed-tabs-listitem-name" w:customStyle="1">
    <w:name w:val="detailed-tabs-list__item-name"/>
    <w:basedOn w:val="Normal"/>
    <w:qFormat/>
    <w:rsid w:val="00657800"/>
    <w:pPr>
      <w:spacing w:lineRule="auto" w:line="240" w:beforeAutospacing="1" w:afterAutospacing="1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Detailed-tabs-listitem-value" w:customStyle="1">
    <w:name w:val="detailed-tabs-list__item-value"/>
    <w:basedOn w:val="Normal"/>
    <w:qFormat/>
    <w:rsid w:val="00657800"/>
    <w:pPr>
      <w:spacing w:lineRule="auto" w:line="240" w:beforeAutospacing="1" w:afterAutospacing="1"/>
    </w:pPr>
    <w:rPr>
      <w:rFonts w:ascii="Times New Roman" w:hAnsi="Times New Roman" w:eastAsia="Times New Roman"/>
      <w:color w:val="auto"/>
      <w:sz w:val="24"/>
      <w:szCs w:val="24"/>
      <w:lang w:eastAsia="ru-RU"/>
    </w:rPr>
  </w:style>
  <w:style w:type="paragraph" w:styleId="Style19" w:customStyle="1">
    <w:name w:val="Содержимое таблицы"/>
    <w:basedOn w:val="Normal"/>
    <w:qFormat/>
    <w:rsid w:val="00623a35"/>
    <w:pPr>
      <w:suppressLineNumbers/>
      <w:spacing w:lineRule="auto" w:line="240" w:before="0" w:after="0"/>
    </w:pPr>
    <w:rPr>
      <w:rFonts w:ascii="Liberation Serif" w:hAnsi="Liberation Serif" w:eastAsia="Arial Unicode MS" w:cs="Mangal"/>
      <w:color w:val="auto"/>
      <w:sz w:val="24"/>
      <w:szCs w:val="24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65780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customStyle="1" w:styleId="11">
    <w:name w:val="Таблица простая 11"/>
    <w:basedOn w:val="a1"/>
    <w:uiPriority w:val="59"/>
    <w:rsid w:val="00657800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657800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31">
    <w:name w:val="Таблица простая 3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-21">
    <w:name w:val="Таблица-сетка 2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-71">
    <w:name w:val="Таблица-сетка 7 цвет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-110">
    <w:name w:val="Список-таблица 1 светл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customStyle="1" w:styleId="-410">
    <w:name w:val="Список-таблица 4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-710">
    <w:name w:val="Список-таблица 7 цветная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657800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rsid w:val="00657800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af6">
    <w:name w:val="Table Grid"/>
    <w:basedOn w:val="a1"/>
    <w:uiPriority w:val="39"/>
    <w:rsid w:val="00657800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LibreOffice/7.6.2.1$Windows_X86_64 LibreOffice_project/56f7684011345957bbf33a7ee678afaf4d2ba333</Application>
  <AppVersion>15.0000</AppVersion>
  <Pages>4</Pages>
  <Words>1239</Words>
  <Characters>8105</Characters>
  <CharactersWithSpaces>9087</CharactersWithSpaces>
  <Paragraphs>273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2025-03-06T09:51:00Z</dcterms:created>
  <dc:creator>1</dc:creator>
  <dc:description/>
  <dc:language>ru-RU</dc:language>
  <cp:lastModifiedBy/>
  <dcterms:modified xsi:type="dcterms:W3CDTF">2025-03-06T14:50:21Z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