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92B" w:rsidRDefault="0051592B" w:rsidP="0051592B">
      <w:pPr>
        <w:spacing w:line="276" w:lineRule="auto"/>
        <w:jc w:val="right"/>
      </w:pPr>
      <w:r>
        <w:t xml:space="preserve">Приложение 1 </w:t>
      </w:r>
    </w:p>
    <w:p w:rsidR="0051592B" w:rsidRDefault="0051592B" w:rsidP="0051592B">
      <w:pPr>
        <w:spacing w:line="276" w:lineRule="auto"/>
        <w:jc w:val="right"/>
      </w:pPr>
      <w:r>
        <w:t xml:space="preserve">к Документации о проведении запроса предложений в электронной форме </w:t>
      </w:r>
    </w:p>
    <w:p w:rsidR="0051592B" w:rsidRDefault="0051592B" w:rsidP="0051592B">
      <w:pPr>
        <w:autoSpaceDE w:val="0"/>
        <w:autoSpaceDN w:val="0"/>
        <w:adjustRightInd w:val="0"/>
        <w:jc w:val="center"/>
        <w:rPr>
          <w:b/>
          <w:color w:val="000000"/>
        </w:rPr>
      </w:pPr>
      <w:bookmarkStart w:id="0" w:name="OLE_LINK13"/>
      <w:bookmarkStart w:id="1" w:name="OLE_LINK11"/>
      <w:bookmarkStart w:id="2" w:name="OLE_LINK12"/>
    </w:p>
    <w:p w:rsidR="0051592B" w:rsidRDefault="0051592B" w:rsidP="0051592B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КРИТЕРИИ И ПОРЯДОК ОЦЕНКИ </w:t>
      </w:r>
    </w:p>
    <w:p w:rsidR="0051592B" w:rsidRDefault="0051592B" w:rsidP="0051592B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ЗАЯВОК НА УЧАСТИЕ В </w:t>
      </w:r>
      <w:bookmarkEnd w:id="0"/>
      <w:bookmarkEnd w:id="1"/>
      <w:bookmarkEnd w:id="2"/>
      <w:r>
        <w:rPr>
          <w:b/>
          <w:color w:val="000000"/>
        </w:rPr>
        <w:t xml:space="preserve">ЗАПРОСЕ ПРЕДЛОЖЕНИЙ </w:t>
      </w:r>
    </w:p>
    <w:p w:rsidR="0051592B" w:rsidRDefault="0051592B" w:rsidP="0051592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color w:val="000000"/>
        </w:rPr>
        <w:t>на поставку продуктов питания (овощи и фрукты)</w:t>
      </w:r>
    </w:p>
    <w:p w:rsidR="0051592B" w:rsidRDefault="0051592B" w:rsidP="0051592B">
      <w:pPr>
        <w:spacing w:after="120"/>
        <w:ind w:firstLine="567"/>
        <w:jc w:val="both"/>
      </w:pPr>
      <w:r>
        <w:t>Для оценки заявок Участников запроса предложений в электронной форме на поставку продуктов питания (овощи и фрукты) Заказчик устанавливает следующие критерии оценки и их величины значимости: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6501"/>
        <w:gridCol w:w="2174"/>
      </w:tblGrid>
      <w:tr w:rsidR="0051592B" w:rsidTr="0051592B">
        <w:trPr>
          <w:jc w:val="center"/>
        </w:trPr>
        <w:tc>
          <w:tcPr>
            <w:tcW w:w="10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1592B" w:rsidRDefault="0051592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Критерии и порядок оценки и сопоставления заявок.</w:t>
            </w:r>
          </w:p>
        </w:tc>
      </w:tr>
      <w:tr w:rsidR="0051592B" w:rsidTr="0051592B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1592B" w:rsidRDefault="0051592B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1592B" w:rsidRDefault="0051592B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Критерии оценки заявок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1592B" w:rsidRDefault="0051592B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Значимость критерия</w:t>
            </w:r>
          </w:p>
        </w:tc>
      </w:tr>
      <w:tr w:rsidR="0051592B" w:rsidTr="0051592B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1592B" w:rsidRDefault="0051592B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1592B" w:rsidRDefault="0051592B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Цена договора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1592B" w:rsidRDefault="0051592B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</w:tr>
      <w:tr w:rsidR="0051592B" w:rsidTr="0051592B">
        <w:trPr>
          <w:jc w:val="center"/>
        </w:trPr>
        <w:tc>
          <w:tcPr>
            <w:tcW w:w="100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1592B" w:rsidRDefault="0051592B">
            <w:pPr>
              <w:ind w:firstLine="397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Rai</w:t>
            </w:r>
            <w:r>
              <w:rPr>
                <w:b/>
                <w:lang w:eastAsia="en-US"/>
              </w:rPr>
              <w:t xml:space="preserve"> = </w:t>
            </w:r>
            <w:r>
              <w:rPr>
                <w:b/>
                <w:lang w:val="en-US" w:eastAsia="en-US"/>
              </w:rPr>
              <w:t>Amin</w:t>
            </w:r>
            <w:r>
              <w:rPr>
                <w:b/>
                <w:lang w:eastAsia="en-US"/>
              </w:rPr>
              <w:t>/</w:t>
            </w:r>
            <w:r>
              <w:rPr>
                <w:b/>
                <w:lang w:val="en-US" w:eastAsia="en-US"/>
              </w:rPr>
              <w:t>Ai</w:t>
            </w:r>
            <w:r>
              <w:rPr>
                <w:b/>
                <w:lang w:eastAsia="en-US"/>
              </w:rPr>
              <w:t xml:space="preserve"> * 100 * 40/100,</w:t>
            </w:r>
          </w:p>
          <w:p w:rsidR="0051592B" w:rsidRDefault="0051592B">
            <w:pPr>
              <w:ind w:firstLine="3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где:</w:t>
            </w:r>
          </w:p>
          <w:p w:rsidR="0051592B" w:rsidRDefault="0051592B">
            <w:pPr>
              <w:ind w:firstLine="397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Rai</w:t>
            </w:r>
            <w:proofErr w:type="spellEnd"/>
            <w:r>
              <w:rPr>
                <w:lang w:eastAsia="en-US"/>
              </w:rPr>
              <w:t xml:space="preserve"> – рейтинг в баллах, присуждаемый i-ой заявке по указанному критерию;</w:t>
            </w:r>
          </w:p>
          <w:p w:rsidR="0051592B" w:rsidRDefault="0051592B">
            <w:pPr>
              <w:ind w:firstLine="397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Amin</w:t>
            </w:r>
            <w:r>
              <w:rPr>
                <w:lang w:eastAsia="en-US"/>
              </w:rPr>
              <w:t xml:space="preserve"> – минимальное ценовое предложение из ценовых предложений по критерию оценки, сделанных участниками закупки;</w:t>
            </w:r>
          </w:p>
          <w:p w:rsidR="0051592B" w:rsidRDefault="0051592B">
            <w:pPr>
              <w:ind w:firstLine="397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Ai</w:t>
            </w:r>
            <w:proofErr w:type="spellEnd"/>
            <w:r>
              <w:rPr>
                <w:lang w:eastAsia="en-US"/>
              </w:rPr>
              <w:t xml:space="preserve"> – ценовое предложение i–</w:t>
            </w:r>
            <w:proofErr w:type="spellStart"/>
            <w:r>
              <w:rPr>
                <w:lang w:eastAsia="en-US"/>
              </w:rPr>
              <w:t>го</w:t>
            </w:r>
            <w:proofErr w:type="spellEnd"/>
            <w:r>
              <w:rPr>
                <w:lang w:eastAsia="en-US"/>
              </w:rPr>
              <w:t xml:space="preserve"> участника закупки, заявка (предложение) которого оценивается.</w:t>
            </w:r>
          </w:p>
          <w:p w:rsidR="0051592B" w:rsidRDefault="0051592B">
            <w:pPr>
              <w:ind w:firstLine="397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Для расчета итогового рейтинга заявки (предложения) по критерию (</w:t>
            </w:r>
            <w:r>
              <w:rPr>
                <w:bCs/>
                <w:lang w:val="en-US" w:eastAsia="en-US"/>
              </w:rPr>
              <w:t>Rai</w:t>
            </w:r>
            <w:r>
              <w:rPr>
                <w:bCs/>
                <w:lang w:eastAsia="en-US"/>
              </w:rPr>
              <w:t>) «цена договора или сумма цен единиц товара, работы, услуги», количество баллов (рейтинг), присуждаемых заявке по критерию (</w:t>
            </w:r>
            <w:r>
              <w:rPr>
                <w:bCs/>
                <w:lang w:val="en-US" w:eastAsia="en-US"/>
              </w:rPr>
              <w:t>Rai</w:t>
            </w:r>
            <w:r>
              <w:rPr>
                <w:bCs/>
                <w:lang w:eastAsia="en-US"/>
              </w:rPr>
              <w:t>) «цена договора или сумма цен единиц товара, работы, услуги», умножается на соответствующую указанному критерию величину значимости критерия оценки (значение критерия в процентах, деленное на 100).</w:t>
            </w:r>
          </w:p>
          <w:p w:rsidR="0051592B" w:rsidRDefault="0051592B">
            <w:pPr>
              <w:ind w:firstLine="3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 оценке заявок по критерию «Цена договора</w:t>
            </w:r>
            <w:r>
              <w:rPr>
                <w:bCs/>
                <w:lang w:eastAsia="en-US"/>
              </w:rPr>
              <w:t xml:space="preserve"> или сумма цен единиц товара, работы, услуги</w:t>
            </w:r>
            <w:r>
              <w:rPr>
                <w:lang w:eastAsia="en-US"/>
              </w:rPr>
              <w:t>» лучшим признается предложение участника с наименьшим ценовым предложением.</w:t>
            </w:r>
          </w:p>
          <w:p w:rsidR="0051592B" w:rsidRDefault="0051592B">
            <w:pPr>
              <w:ind w:firstLine="3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Договор заключается на условиях по данному критерию, указанных в заявке победителя.</w:t>
            </w:r>
          </w:p>
        </w:tc>
      </w:tr>
      <w:tr w:rsidR="0051592B" w:rsidTr="0051592B">
        <w:trPr>
          <w:jc w:val="center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1592B" w:rsidRDefault="005159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1592B" w:rsidRDefault="0051592B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Не стоимостные критерии оценки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1592B" w:rsidRDefault="0051592B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Значимость критерия</w:t>
            </w:r>
          </w:p>
        </w:tc>
      </w:tr>
      <w:tr w:rsidR="0051592B" w:rsidTr="0051592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592B" w:rsidRDefault="0051592B">
            <w:pPr>
              <w:rPr>
                <w:b/>
                <w:lang w:eastAsia="en-US"/>
              </w:rPr>
            </w:pP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1592B" w:rsidRDefault="0051592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Квалификация участников запроса предложений в электронной форме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1592B" w:rsidRDefault="0051592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60</w:t>
            </w:r>
          </w:p>
        </w:tc>
      </w:tr>
      <w:tr w:rsidR="0051592B" w:rsidTr="0051592B">
        <w:trPr>
          <w:jc w:val="center"/>
        </w:trPr>
        <w:tc>
          <w:tcPr>
            <w:tcW w:w="100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1592B" w:rsidRDefault="0051592B">
            <w:pPr>
              <w:ind w:firstLine="397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Баллы по критерию 2 (</w:t>
            </w:r>
            <w:proofErr w:type="spellStart"/>
            <w:r>
              <w:rPr>
                <w:b/>
                <w:bCs/>
                <w:lang w:eastAsia="en-US"/>
              </w:rPr>
              <w:t>Rbi</w:t>
            </w:r>
            <w:proofErr w:type="spellEnd"/>
            <w:r>
              <w:rPr>
                <w:b/>
                <w:bCs/>
                <w:lang w:eastAsia="en-US"/>
              </w:rPr>
              <w:t xml:space="preserve">) определяются следующим образом: </w:t>
            </w:r>
          </w:p>
          <w:p w:rsidR="0051592B" w:rsidRDefault="0051592B">
            <w:pPr>
              <w:ind w:firstLine="397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Рейтинг, присуждаемый заявке по критерию «квалификация участника закупки» определяется по следующей формуле:</w:t>
            </w:r>
          </w:p>
          <w:p w:rsidR="0051592B" w:rsidRDefault="00FB7DFF" w:rsidP="001E5E34">
            <w:pPr>
              <w:ind w:firstLine="397"/>
              <w:jc w:val="center"/>
              <w:rPr>
                <w:b/>
                <w:bCs/>
                <w:lang w:eastAsia="en-US"/>
              </w:rPr>
            </w:pPr>
            <w:proofErr w:type="spellStart"/>
            <w:r w:rsidRPr="00FB7DFF">
              <w:rPr>
                <w:b/>
                <w:bCs/>
                <w:lang w:val="en-US" w:eastAsia="en-US"/>
              </w:rPr>
              <w:t>Rbi</w:t>
            </w:r>
            <w:proofErr w:type="spellEnd"/>
            <w:r w:rsidRPr="00FB7DFF">
              <w:rPr>
                <w:b/>
                <w:bCs/>
                <w:lang w:val="en-US" w:eastAsia="en-US"/>
              </w:rPr>
              <w:t xml:space="preserve"> = </w:t>
            </w:r>
            <w:r w:rsidRPr="00FB7DFF">
              <w:rPr>
                <w:b/>
                <w:bCs/>
                <w:lang w:eastAsia="en-US"/>
              </w:rPr>
              <w:t>(</w:t>
            </w:r>
            <w:r w:rsidRPr="00FB7DFF">
              <w:rPr>
                <w:b/>
                <w:bCs/>
                <w:lang w:val="en-US" w:eastAsia="en-US"/>
              </w:rPr>
              <w:t>R1bi</w:t>
            </w:r>
            <w:r w:rsidRPr="00FB7DFF">
              <w:rPr>
                <w:b/>
                <w:bCs/>
                <w:lang w:eastAsia="en-US"/>
              </w:rPr>
              <w:t>1</w:t>
            </w:r>
            <w:r w:rsidRPr="00FB7DFF">
              <w:rPr>
                <w:b/>
                <w:bCs/>
                <w:lang w:val="en-US" w:eastAsia="en-US"/>
              </w:rPr>
              <w:t xml:space="preserve"> + R1bi</w:t>
            </w:r>
            <w:r w:rsidRPr="00FB7DFF">
              <w:rPr>
                <w:b/>
                <w:bCs/>
                <w:lang w:eastAsia="en-US"/>
              </w:rPr>
              <w:t xml:space="preserve">2 + </w:t>
            </w:r>
            <w:r w:rsidRPr="00FB7DFF">
              <w:rPr>
                <w:b/>
                <w:bCs/>
                <w:lang w:val="en-US" w:eastAsia="en-US"/>
              </w:rPr>
              <w:t>R1bi</w:t>
            </w:r>
            <w:r w:rsidRPr="00FB7DFF">
              <w:rPr>
                <w:b/>
                <w:bCs/>
                <w:lang w:eastAsia="en-US"/>
              </w:rPr>
              <w:t>3)*60/100</w:t>
            </w:r>
            <w:bookmarkStart w:id="3" w:name="_GoBack"/>
            <w:bookmarkEnd w:id="3"/>
          </w:p>
        </w:tc>
      </w:tr>
      <w:tr w:rsidR="0051592B" w:rsidTr="0051592B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1592B" w:rsidRDefault="0051592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2.1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1592B" w:rsidRDefault="0051592B">
            <w:pPr>
              <w:ind w:left="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Деловая репутация.</w:t>
            </w:r>
          </w:p>
          <w:p w:rsidR="0051592B" w:rsidRDefault="0051592B">
            <w:pPr>
              <w:ind w:left="3"/>
              <w:jc w:val="both"/>
              <w:rPr>
                <w:b/>
                <w:lang w:eastAsia="en-US"/>
              </w:rPr>
            </w:pPr>
          </w:p>
          <w:p w:rsidR="0051592B" w:rsidRDefault="0051592B">
            <w:pPr>
              <w:ind w:right="126"/>
              <w:jc w:val="both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 наград за качество продукции (предлагаемой к поставке) в выставках, конкурсах регионального, федерального значения за 2021-2023 г.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1592B" w:rsidRDefault="0051592B">
            <w:pPr>
              <w:ind w:right="5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</w:tr>
      <w:tr w:rsidR="0051592B" w:rsidTr="0051592B">
        <w:trPr>
          <w:jc w:val="center"/>
        </w:trPr>
        <w:tc>
          <w:tcPr>
            <w:tcW w:w="10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1592B" w:rsidRDefault="0051592B">
            <w:pPr>
              <w:ind w:left="3" w:right="142" w:firstLine="356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Баллы по подкритерию 2.1 (R1bi1) определяются следующим образом: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:rsidR="0051592B" w:rsidRDefault="0051592B">
            <w:pPr>
              <w:ind w:right="142"/>
            </w:pPr>
            <w:r>
              <w:rPr>
                <w:bCs/>
                <w:lang w:eastAsia="en-US"/>
              </w:rPr>
              <w:t>Общее количество наград за качество продукции (предлагаемой к поставке) в выставках, конкурсах регионального, федерального значения за 2021-2023 г., (с приложением дипломов, иных документов подтверждающих получение награды) (указать количество)</w:t>
            </w:r>
            <w:r>
              <w:rPr>
                <w:bCs/>
                <w:lang w:eastAsia="en-US"/>
              </w:rPr>
              <w:br/>
            </w:r>
            <w:r>
              <w:t>Отсутствие наград – 0 баллов;</w:t>
            </w:r>
          </w:p>
          <w:p w:rsidR="0051592B" w:rsidRDefault="0051592B">
            <w:pPr>
              <w:ind w:right="142"/>
              <w:rPr>
                <w:bCs/>
              </w:rPr>
            </w:pPr>
            <w:r>
              <w:rPr>
                <w:bCs/>
              </w:rPr>
              <w:t>От 1 до 5 – 10 баллов;</w:t>
            </w:r>
          </w:p>
          <w:p w:rsidR="0051592B" w:rsidRDefault="0051592B">
            <w:pPr>
              <w:ind w:right="142"/>
              <w:rPr>
                <w:bCs/>
              </w:rPr>
            </w:pPr>
            <w:r>
              <w:rPr>
                <w:bCs/>
              </w:rPr>
              <w:t>От 6 и более – 20 баллов.</w:t>
            </w:r>
          </w:p>
          <w:p w:rsidR="0051592B" w:rsidRDefault="0051592B">
            <w:pPr>
              <w:ind w:right="142"/>
              <w:rPr>
                <w:bCs/>
              </w:rPr>
            </w:pPr>
          </w:p>
          <w:tbl>
            <w:tblPr>
              <w:tblW w:w="5000" w:type="pct"/>
              <w:jc w:val="center"/>
              <w:tblCellMar>
                <w:left w:w="62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661"/>
              <w:gridCol w:w="6408"/>
              <w:gridCol w:w="2040"/>
            </w:tblGrid>
            <w:tr w:rsidR="0051592B">
              <w:trPr>
                <w:jc w:val="center"/>
              </w:trPr>
              <w:tc>
                <w:tcPr>
                  <w:tcW w:w="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51592B" w:rsidRDefault="0051592B">
                  <w:pPr>
                    <w:jc w:val="center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2.2</w:t>
                  </w:r>
                </w:p>
              </w:tc>
              <w:tc>
                <w:tcPr>
                  <w:tcW w:w="7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</w:tcPr>
                <w:p w:rsidR="0051592B" w:rsidRDefault="0051592B">
                  <w:pPr>
                    <w:ind w:left="3"/>
                    <w:jc w:val="both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Деловая репутация.</w:t>
                  </w:r>
                </w:p>
                <w:p w:rsidR="0051592B" w:rsidRDefault="0051592B">
                  <w:pPr>
                    <w:ind w:left="3"/>
                    <w:jc w:val="both"/>
                    <w:rPr>
                      <w:b/>
                      <w:lang w:eastAsia="en-US"/>
                    </w:rPr>
                  </w:pPr>
                </w:p>
                <w:p w:rsidR="0051592B" w:rsidRDefault="0051592B">
                  <w:pPr>
                    <w:ind w:right="126"/>
                    <w:jc w:val="both"/>
                    <w:rPr>
                      <w:b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 xml:space="preserve">Отзывы и (или) благодарственные письма – количество копий отзывов и (или) благодарственных писем, выданных на имя </w:t>
                  </w:r>
                  <w:r>
                    <w:rPr>
                      <w:b/>
                      <w:bCs/>
                      <w:lang w:eastAsia="en-US"/>
                    </w:rPr>
                    <w:lastRenderedPageBreak/>
                    <w:t>участника закупки за производство продуктов питания или поставку продуктов питания.</w:t>
                  </w:r>
                </w:p>
              </w:tc>
              <w:tc>
                <w:tcPr>
                  <w:tcW w:w="2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51592B" w:rsidRDefault="0051592B">
                  <w:pPr>
                    <w:ind w:right="59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lastRenderedPageBreak/>
                    <w:t>20</w:t>
                  </w:r>
                </w:p>
              </w:tc>
            </w:tr>
          </w:tbl>
          <w:p w:rsidR="0051592B" w:rsidRDefault="0051592B">
            <w:pPr>
              <w:ind w:right="142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Баллы по подкритерию 2.2 (</w:t>
            </w:r>
            <w:r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lang w:val="en-US"/>
              </w:rPr>
              <w:t>bi</w:t>
            </w:r>
            <w:r>
              <w:rPr>
                <w:b/>
                <w:bCs/>
              </w:rPr>
              <w:t xml:space="preserve">2) определяются следующим образом: </w:t>
            </w:r>
          </w:p>
          <w:p w:rsidR="0051592B" w:rsidRDefault="0051592B">
            <w:pPr>
              <w:ind w:right="142" w:firstLine="709"/>
              <w:jc w:val="both"/>
              <w:rPr>
                <w:bCs/>
              </w:rPr>
            </w:pPr>
            <w:r>
              <w:rPr>
                <w:bCs/>
              </w:rPr>
              <w:t>Общее количество отзывов/благодарственных писем, выданных на имя участника закупки:</w:t>
            </w:r>
          </w:p>
          <w:p w:rsidR="0051592B" w:rsidRDefault="0051592B">
            <w:pPr>
              <w:ind w:right="142" w:firstLine="709"/>
              <w:jc w:val="both"/>
              <w:rPr>
                <w:bCs/>
              </w:rPr>
            </w:pPr>
            <w:r>
              <w:rPr>
                <w:bCs/>
              </w:rPr>
              <w:t>- для производителей: производство и поставка товаров в соответствии с предметом лота настоящей закупки;</w:t>
            </w:r>
          </w:p>
          <w:p w:rsidR="0051592B" w:rsidRDefault="0051592B">
            <w:pPr>
              <w:ind w:right="142" w:firstLine="709"/>
              <w:jc w:val="both"/>
              <w:rPr>
                <w:bCs/>
              </w:rPr>
            </w:pPr>
            <w:r>
              <w:rPr>
                <w:bCs/>
              </w:rPr>
              <w:t>- для поставщиков: поставка товаров в соответствии с предметом лота настоящей закупки.</w:t>
            </w:r>
          </w:p>
          <w:p w:rsidR="0051592B" w:rsidRDefault="0051592B">
            <w:pPr>
              <w:ind w:right="142" w:firstLine="709"/>
              <w:jc w:val="both"/>
              <w:rPr>
                <w:bCs/>
              </w:rPr>
            </w:pPr>
            <w:r>
              <w:rPr>
                <w:bCs/>
              </w:rPr>
              <w:t>Данный критерий подтверждается:</w:t>
            </w:r>
          </w:p>
          <w:p w:rsidR="0051592B" w:rsidRDefault="0051592B">
            <w:pPr>
              <w:ind w:right="142" w:firstLine="709"/>
              <w:jc w:val="both"/>
              <w:rPr>
                <w:bCs/>
              </w:rPr>
            </w:pPr>
            <w:r>
              <w:rPr>
                <w:bCs/>
              </w:rPr>
              <w:t xml:space="preserve">- для производителей: отзывы и благодарственные письма за последние 3 (три) года до даты публикации в ЕИС извещения о проведении запроса предложений в электронной форме участниками или отзывами/благодарственными письмами за последние 3 (три) года до даты публикации в ЕИС извещения о проведении конкурса с ограниченным участием в электронной форме, выданными органами государственной и муниципальной власти/ бюджетными учреждениями на поставку продуктов питания </w:t>
            </w:r>
            <w:r>
              <w:t>(овощи и фрукты)</w:t>
            </w:r>
            <w:r>
              <w:rPr>
                <w:bCs/>
              </w:rPr>
              <w:t>, в которых указано о поставке/производстве товаров (с приложением документов, подтверждающих получение отзыва/благодарственного письма).;</w:t>
            </w:r>
          </w:p>
          <w:p w:rsidR="0051592B" w:rsidRDefault="0051592B">
            <w:pPr>
              <w:ind w:right="142" w:firstLine="709"/>
              <w:jc w:val="both"/>
              <w:rPr>
                <w:bCs/>
              </w:rPr>
            </w:pPr>
            <w:r>
              <w:rPr>
                <w:bCs/>
              </w:rPr>
              <w:t xml:space="preserve">- для поставщиков: отзывами/благодарственными письмами за последние 3 (три) года до даты публикации в ЕИС извещения о проведении запроса предложений в электронной форме, выданными органами государственной и муниципальной власти/ бюджетными учреждениями, в которых указано о поставке продуктов питания </w:t>
            </w:r>
            <w:r>
              <w:t>(овощи и фрукты)</w:t>
            </w:r>
            <w:r>
              <w:rPr>
                <w:bCs/>
              </w:rPr>
              <w:t xml:space="preserve"> (с приложением документов, подтверждающих получение отзыва/благодарственного письма).</w:t>
            </w:r>
          </w:p>
          <w:p w:rsidR="0051592B" w:rsidRDefault="0051592B">
            <w:pPr>
              <w:ind w:right="142" w:firstLine="709"/>
              <w:jc w:val="both"/>
              <w:rPr>
                <w:bCs/>
              </w:rPr>
            </w:pPr>
            <w:r>
              <w:rPr>
                <w:bCs/>
              </w:rPr>
              <w:t>Предмет отзыва/благодарственного письма – поставка товаров в соответствии с предметом лота настоящей закупки. К копии отзыва приложить соответствующие копии исполненного договора (контракта) и копии документов об исполнении обязательств поставки (копии товарных накладных или универсального передаточного документа или акта сверки) по данному контракту (договору) за последние 3 (три) года до даты публикации в ЕИС извещения о проведении запроса предложений в электронной форме участниками которой могут быть только субъекты малого и среднего предпринимательства.  По одному договору (контракту) может быть приложен только один отзыв.</w:t>
            </w:r>
          </w:p>
          <w:p w:rsidR="0051592B" w:rsidRDefault="0051592B">
            <w:pPr>
              <w:ind w:right="142" w:firstLine="709"/>
              <w:jc w:val="both"/>
              <w:rPr>
                <w:bCs/>
              </w:rPr>
            </w:pPr>
            <w:r>
              <w:rPr>
                <w:bCs/>
              </w:rPr>
              <w:t xml:space="preserve">Аналогичным договором (контрактом) (поставка товаров в соответствии с предметом лота настоящей закупки) за последние 3 (три) года до даты публикации в ЕИС извещения о проведении запроса предложений в электронной форме участниками которой могут быть только субъекты малого и среднего предпринимательства. При этом стоимость исполненных обязательств </w:t>
            </w:r>
            <w:r>
              <w:rPr>
                <w:bCs/>
                <w:u w:val="single"/>
              </w:rPr>
              <w:t>по данному контракту (договору)</w:t>
            </w:r>
            <w:r>
              <w:rPr>
                <w:bCs/>
              </w:rPr>
              <w:t xml:space="preserve"> составляет не менее 40 (сорока) процентов (40%) начальной (максимальной) цены договора (контракта) лота на право заключить который проводится закупка.</w:t>
            </w:r>
          </w:p>
          <w:p w:rsidR="0051592B" w:rsidRDefault="0051592B">
            <w:pPr>
              <w:ind w:right="142" w:firstLine="709"/>
              <w:jc w:val="both"/>
              <w:rPr>
                <w:bCs/>
              </w:rPr>
            </w:pPr>
            <w:r>
              <w:rPr>
                <w:bCs/>
              </w:rPr>
              <w:t>Отзыв/благодарственное письмо заказчика должны быть оформлены на официальном бланке Заказчика с исходящим номером и подписью уполномоченного лица (заверенные участником закупки копии). К каждому заключённому и исполненному договору один отзыв или благодарственное письмо. В случае несоответствия указанным требованиям отзыв, и (или) благодарственное письмо участника не учитываются.</w:t>
            </w:r>
          </w:p>
          <w:p w:rsidR="0051592B" w:rsidRDefault="0051592B">
            <w:pPr>
              <w:ind w:right="142"/>
              <w:rPr>
                <w:bCs/>
              </w:rPr>
            </w:pPr>
          </w:p>
          <w:p w:rsidR="0051592B" w:rsidRDefault="0051592B">
            <w:pPr>
              <w:ind w:right="142"/>
              <w:rPr>
                <w:bCs/>
              </w:rPr>
            </w:pPr>
            <w:r>
              <w:rPr>
                <w:bCs/>
              </w:rPr>
              <w:t>Отсутствие – 0 баллов;</w:t>
            </w:r>
          </w:p>
          <w:p w:rsidR="0051592B" w:rsidRDefault="0051592B">
            <w:pPr>
              <w:ind w:right="142"/>
              <w:rPr>
                <w:bCs/>
              </w:rPr>
            </w:pPr>
            <w:r>
              <w:rPr>
                <w:bCs/>
              </w:rPr>
              <w:t>От 1 до 4 баллов – 10 баллов;</w:t>
            </w:r>
          </w:p>
          <w:p w:rsidR="0051592B" w:rsidRDefault="0051592B">
            <w:pPr>
              <w:ind w:right="142"/>
              <w:rPr>
                <w:bCs/>
              </w:rPr>
            </w:pPr>
            <w:r>
              <w:rPr>
                <w:bCs/>
              </w:rPr>
              <w:t>Более 5 (5 включительно) отзывов и (или) благодарственных писем – 20 баллов.</w:t>
            </w:r>
          </w:p>
          <w:p w:rsidR="0051592B" w:rsidRDefault="0051592B">
            <w:pPr>
              <w:ind w:right="142"/>
              <w:rPr>
                <w:bCs/>
              </w:rPr>
            </w:pPr>
          </w:p>
          <w:p w:rsidR="0051592B" w:rsidRDefault="0051592B">
            <w:pPr>
              <w:ind w:right="142"/>
              <w:rPr>
                <w:bCs/>
                <w:lang w:eastAsia="en-US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auto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62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667"/>
              <w:gridCol w:w="6397"/>
              <w:gridCol w:w="2045"/>
            </w:tblGrid>
            <w:tr w:rsidR="0051592B">
              <w:trPr>
                <w:jc w:val="center"/>
              </w:trPr>
              <w:tc>
                <w:tcPr>
                  <w:tcW w:w="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51592B" w:rsidRDefault="0051592B">
                  <w:pPr>
                    <w:jc w:val="center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2.3.</w:t>
                  </w:r>
                </w:p>
              </w:tc>
              <w:tc>
                <w:tcPr>
                  <w:tcW w:w="6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</w:tcPr>
                <w:p w:rsidR="0051592B" w:rsidRDefault="0051592B">
                  <w:pPr>
                    <w:ind w:left="48"/>
                    <w:jc w:val="both"/>
                    <w:rPr>
                      <w:rFonts w:eastAsia="Calibri"/>
                      <w:b/>
                      <w:color w:val="000000"/>
                    </w:rPr>
                  </w:pPr>
                  <w:r>
                    <w:rPr>
                      <w:rFonts w:eastAsia="Calibri"/>
                      <w:b/>
                      <w:bCs/>
                      <w:color w:val="000000"/>
                    </w:rPr>
                    <w:t>Качественные, функциональные и экологические характеристики объекта закупки.</w:t>
                  </w:r>
                </w:p>
                <w:p w:rsidR="0051592B" w:rsidRDefault="0051592B">
                  <w:pPr>
                    <w:ind w:left="48"/>
                    <w:jc w:val="both"/>
                    <w:rPr>
                      <w:rFonts w:eastAsia="Calibri"/>
                      <w:b/>
                      <w:color w:val="000000"/>
                    </w:rPr>
                  </w:pPr>
                </w:p>
                <w:p w:rsidR="0051592B" w:rsidRDefault="0051592B">
                  <w:pPr>
                    <w:jc w:val="both"/>
                    <w:rPr>
                      <w:b/>
                      <w:bCs/>
                      <w:lang w:eastAsia="en-US"/>
                    </w:rPr>
                  </w:pPr>
                  <w:r>
                    <w:rPr>
                      <w:rFonts w:eastAsia="Calibri"/>
                      <w:b/>
                      <w:color w:val="000000"/>
                    </w:rPr>
                    <w:t>Наличие сертификата соответствия предлагаемого для поставки товара требованиям ГОСТ Р ИСО 22000-2007 (ИСО 22000:2005), включающий принципы ХАССП</w:t>
                  </w:r>
                </w:p>
              </w:tc>
              <w:tc>
                <w:tcPr>
                  <w:tcW w:w="2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:rsidR="0051592B" w:rsidRDefault="0051592B">
                  <w:pPr>
                    <w:ind w:right="59"/>
                    <w:jc w:val="center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20</w:t>
                  </w:r>
                </w:p>
              </w:tc>
            </w:tr>
          </w:tbl>
          <w:p w:rsidR="0051592B" w:rsidRDefault="0051592B">
            <w:pPr>
              <w:ind w:left="34" w:right="255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Баллы по подкритерию 2.3 (</w:t>
            </w:r>
            <w:r>
              <w:rPr>
                <w:b/>
                <w:bCs/>
                <w:lang w:val="en-US" w:eastAsia="en-US"/>
              </w:rPr>
              <w:t>R</w:t>
            </w:r>
            <w:r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val="en-US" w:eastAsia="en-US"/>
              </w:rPr>
              <w:t>bi</w:t>
            </w:r>
            <w:r>
              <w:rPr>
                <w:b/>
                <w:bCs/>
                <w:lang w:eastAsia="en-US"/>
              </w:rPr>
              <w:t>3) определяются следующим образом:</w:t>
            </w:r>
          </w:p>
          <w:p w:rsidR="0051592B" w:rsidRDefault="0051592B">
            <w:pPr>
              <w:ind w:left="34" w:right="255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Информацию по данному критерию Участник подтверждает путем представления в составе заявки:</w:t>
            </w:r>
          </w:p>
          <w:p w:rsidR="0051592B" w:rsidRDefault="0051592B">
            <w:pPr>
              <w:ind w:left="34" w:right="255"/>
              <w:jc w:val="both"/>
              <w:rPr>
                <w:bCs/>
                <w:lang w:eastAsia="en-US"/>
              </w:rPr>
            </w:pPr>
          </w:p>
          <w:p w:rsidR="0051592B" w:rsidRDefault="0051592B">
            <w:pPr>
              <w:ind w:left="34" w:right="255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Для производителей продуктов питания:</w:t>
            </w:r>
          </w:p>
          <w:p w:rsidR="0051592B" w:rsidRDefault="0051592B">
            <w:pPr>
              <w:ind w:right="142"/>
              <w:rPr>
                <w:b/>
                <w:lang w:eastAsia="en-US"/>
              </w:rPr>
            </w:pPr>
          </w:p>
          <w:p w:rsidR="0051592B" w:rsidRDefault="0051592B">
            <w:pPr>
              <w:ind w:left="34" w:right="255"/>
              <w:jc w:val="both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Наличие сертификата соответствия предлагаемого для поставки товара требованиям ГОСТ Р ИСО 22000-2007 (ИСО 22000:2005), включающий принципы ХАССП</w:t>
            </w:r>
          </w:p>
          <w:p w:rsidR="0051592B" w:rsidRDefault="0051592B">
            <w:pPr>
              <w:ind w:left="34" w:right="255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наличие у участника предлагаемого для поставки товара внедренной системы менеджмента безопасности пищевой продукции, применительно к производству, хранению, транспортировке (реализации);</w:t>
            </w:r>
          </w:p>
          <w:p w:rsidR="0051592B" w:rsidRDefault="0051592B">
            <w:pPr>
              <w:ind w:left="34" w:right="25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- отсутствие сертификата соответствия предлагаемого для поставки товара требованиям ГОСТ Р ИСО 22000-2007 (ИСО 22000:2005), включающий принципы ХАССП – 0 баллов</w:t>
            </w:r>
            <w:r>
              <w:rPr>
                <w:bCs/>
                <w:lang w:eastAsia="en-US"/>
              </w:rPr>
              <w:br/>
              <w:t>- наличие сертификата соответствия предлагаемого для поставки товара требованиям ГОСТ Р ИСО 22000-2007 (ИСО 22000:2005), включающий принципы ХАССП – 25 баллов</w:t>
            </w:r>
          </w:p>
          <w:p w:rsidR="0051592B" w:rsidRDefault="0051592B">
            <w:pPr>
              <w:ind w:left="34" w:right="255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  <w:p w:rsidR="0051592B" w:rsidRDefault="0051592B">
            <w:pPr>
              <w:ind w:left="34" w:right="255"/>
              <w:jc w:val="both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Для поставщиков</w:t>
            </w:r>
            <w:r>
              <w:rPr>
                <w:bCs/>
                <w:u w:val="single"/>
                <w:lang w:eastAsia="en-US"/>
              </w:rPr>
              <w:t xml:space="preserve"> </w:t>
            </w:r>
            <w:r>
              <w:rPr>
                <w:b/>
                <w:bCs/>
                <w:u w:val="single"/>
                <w:lang w:eastAsia="en-US"/>
              </w:rPr>
              <w:t>продуктов питания:</w:t>
            </w:r>
          </w:p>
          <w:p w:rsidR="0051592B" w:rsidRDefault="0051592B">
            <w:pPr>
              <w:ind w:left="34" w:right="255"/>
              <w:jc w:val="both"/>
              <w:rPr>
                <w:b/>
                <w:bCs/>
                <w:lang w:eastAsia="en-US"/>
              </w:rPr>
            </w:pPr>
          </w:p>
          <w:p w:rsidR="0051592B" w:rsidRDefault="0051592B">
            <w:pPr>
              <w:ind w:left="34" w:right="255"/>
              <w:jc w:val="both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Наличие сертификата соответствия предлагаемого для поставки товара требованиям ГОСТ Р ИСО 22000-2007 (ИСО 22000:2005), включающий принципы ХАССП</w:t>
            </w:r>
          </w:p>
          <w:p w:rsidR="0051592B" w:rsidRDefault="0051592B">
            <w:pPr>
              <w:ind w:left="34" w:right="255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подтверждение поставщиком предлагаемого для поставки товара внедренной производителем товара, системы менеджмента безопасности пищевой продукции, применительно к производству, хранению, транспортировке (реализации):</w:t>
            </w:r>
          </w:p>
          <w:p w:rsidR="0051592B" w:rsidRDefault="0051592B">
            <w:pPr>
              <w:ind w:left="34" w:right="25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отсутствие сертификата соответствия предлагаемого для поставки товара требованиям ГОСТ Р ИСО 22000-2007 (ИСО 22000:2005), включающий принципы ХАССП – 0 баллов</w:t>
            </w:r>
            <w:r>
              <w:rPr>
                <w:bCs/>
                <w:lang w:eastAsia="en-US"/>
              </w:rPr>
              <w:br/>
              <w:t>- наличие сертификата соответствия предлагаемого для поставки товара требованиям ГОСТ Р ИСО 22000-2007 (ИСО 22000:2005), включающий принципы ХАССП – 100 баллов</w:t>
            </w:r>
          </w:p>
          <w:p w:rsidR="0051592B" w:rsidRDefault="0051592B">
            <w:pPr>
              <w:ind w:left="34" w:right="255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  <w:p w:rsidR="0051592B" w:rsidRDefault="0051592B">
            <w:pPr>
              <w:ind w:left="34" w:right="255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Качество предлагаемых к поставке товаров по данному показателю считается подтвержденной поставщиком в случае, если товар произведен производителем с внедренной системой менеджмента безопасности пищевой продукции, применительно </w:t>
            </w:r>
            <w:r>
              <w:rPr>
                <w:b/>
                <w:bCs/>
                <w:u w:val="single"/>
                <w:lang w:eastAsia="en-US"/>
              </w:rPr>
              <w:t>к производству, хранению, транспортировке (реализации)</w:t>
            </w:r>
            <w:r>
              <w:rPr>
                <w:bCs/>
                <w:lang w:eastAsia="en-US"/>
              </w:rPr>
              <w:t xml:space="preserve"> и указанный товар предлагается поставщиком для поставки.</w:t>
            </w:r>
          </w:p>
          <w:p w:rsidR="0051592B" w:rsidRDefault="0051592B">
            <w:pPr>
              <w:ind w:left="34" w:right="255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  <w:p w:rsidR="0051592B" w:rsidRDefault="0051592B">
            <w:pPr>
              <w:ind w:left="34" w:right="255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(Участник так же предоставляет в составе заявки на участие в закупке заверенную производителем копию сертификата соответствия требованиям ГОСТ Р ИСО 22000-2007 (ИСО 22000:2005), включающий принципы ХАССП). </w:t>
            </w:r>
          </w:p>
          <w:p w:rsidR="0051592B" w:rsidRDefault="0051592B">
            <w:pPr>
              <w:ind w:left="34" w:right="255"/>
              <w:jc w:val="both"/>
              <w:rPr>
                <w:bCs/>
                <w:lang w:eastAsia="en-US"/>
              </w:rPr>
            </w:pPr>
          </w:p>
          <w:p w:rsidR="0051592B" w:rsidRDefault="0051592B">
            <w:pPr>
              <w:ind w:right="59" w:firstLine="359"/>
            </w:pPr>
            <w:r>
              <w:t>Отсутствие сертификата соответствия – 0 баллов;</w:t>
            </w:r>
          </w:p>
          <w:p w:rsidR="0051592B" w:rsidRDefault="0051592B">
            <w:pPr>
              <w:ind w:right="59" w:firstLine="359"/>
            </w:pPr>
            <w:r>
              <w:t>Наличие сертификата – 20 баллов.</w:t>
            </w:r>
          </w:p>
          <w:p w:rsidR="0051592B" w:rsidRDefault="0051592B">
            <w:pPr>
              <w:ind w:right="59"/>
            </w:pPr>
          </w:p>
          <w:p w:rsidR="0051592B" w:rsidRDefault="0051592B">
            <w:pPr>
              <w:ind w:right="142"/>
              <w:rPr>
                <w:b/>
                <w:lang w:eastAsia="en-US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30"/>
              <w:gridCol w:w="2079"/>
            </w:tblGrid>
            <w:tr w:rsidR="0051592B">
              <w:trPr>
                <w:jc w:val="center"/>
              </w:trPr>
              <w:tc>
                <w:tcPr>
                  <w:tcW w:w="7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:rsidR="0051592B" w:rsidRDefault="0051592B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Совокупная значимость критериев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:rsidR="0051592B" w:rsidRDefault="0051592B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100</w:t>
                  </w:r>
                </w:p>
              </w:tc>
            </w:tr>
          </w:tbl>
          <w:p w:rsidR="0051592B" w:rsidRDefault="0051592B">
            <w:pPr>
              <w:ind w:right="142"/>
              <w:rPr>
                <w:b/>
                <w:lang w:eastAsia="en-US"/>
              </w:rPr>
            </w:pPr>
          </w:p>
          <w:p w:rsidR="0051592B" w:rsidRDefault="0051592B">
            <w:pPr>
              <w:ind w:firstLine="3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оценки заявки осуществляется расчет итогового рейтинга по каждой заявке. Итоговый рейтинг заявки рассчитывается путем сложения рейтингов по каждому критерию оценки заявки, установленному в документации, умноженных на коэффициент значимости равный значению данного критерия в процентах деленному на 100.</w:t>
            </w:r>
          </w:p>
          <w:p w:rsidR="0051592B" w:rsidRDefault="0051592B">
            <w:pPr>
              <w:ind w:firstLine="397"/>
              <w:jc w:val="both"/>
              <w:rPr>
                <w:lang w:eastAsia="en-US"/>
              </w:rPr>
            </w:pPr>
          </w:p>
          <w:p w:rsidR="0051592B" w:rsidRDefault="0051592B">
            <w:pPr>
              <w:ind w:firstLine="397"/>
              <w:jc w:val="center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  <w:i/>
                <w:lang w:val="en-US" w:eastAsia="en-US"/>
              </w:rPr>
              <w:t>R</w:t>
            </w:r>
            <w:r>
              <w:rPr>
                <w:b/>
                <w:lang w:val="en-US" w:eastAsia="en-US"/>
              </w:rPr>
              <w:t>i</w:t>
            </w:r>
            <w:proofErr w:type="spellEnd"/>
            <w:r>
              <w:rPr>
                <w:b/>
                <w:lang w:eastAsia="en-US"/>
              </w:rPr>
              <w:t xml:space="preserve"> = </w:t>
            </w:r>
            <w:r>
              <w:rPr>
                <w:b/>
                <w:i/>
                <w:lang w:val="en-US" w:eastAsia="en-US"/>
              </w:rPr>
              <w:t>Rai</w:t>
            </w:r>
            <w:r>
              <w:rPr>
                <w:b/>
                <w:i/>
                <w:lang w:eastAsia="en-US"/>
              </w:rPr>
              <w:t xml:space="preserve"> + </w:t>
            </w:r>
            <w:proofErr w:type="spellStart"/>
            <w:r>
              <w:rPr>
                <w:b/>
                <w:i/>
                <w:lang w:val="en-US" w:eastAsia="en-US"/>
              </w:rPr>
              <w:t>Rbi</w:t>
            </w:r>
            <w:proofErr w:type="spellEnd"/>
          </w:p>
          <w:p w:rsidR="0051592B" w:rsidRDefault="0051592B">
            <w:pPr>
              <w:ind w:firstLine="397"/>
              <w:jc w:val="center"/>
              <w:rPr>
                <w:lang w:eastAsia="en-US"/>
              </w:rPr>
            </w:pPr>
          </w:p>
          <w:p w:rsidR="0051592B" w:rsidRDefault="0051592B">
            <w:pPr>
              <w:ind w:firstLine="39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 результатам расчета итогового рейтинга для каждой заявки им присуждаются порядковые номера. Заявке, набравшей наибольший итоговый рейтинг, присваивается первый номер. Последующие номера присваиваются заявкам по мере уменьшения их итогового рейтинга. </w:t>
            </w:r>
          </w:p>
          <w:p w:rsidR="0051592B" w:rsidRDefault="0051592B">
            <w:pPr>
              <w:ind w:firstLine="39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Рейтинг заявки по каждому критерию представляет собой оценку в баллах, получаемую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 </w:t>
            </w:r>
          </w:p>
          <w:p w:rsidR="0051592B" w:rsidRDefault="0051592B">
            <w:pPr>
              <w:ind w:right="142"/>
              <w:rPr>
                <w:lang w:eastAsia="en-US"/>
              </w:rPr>
            </w:pPr>
            <w:r>
              <w:rPr>
                <w:lang w:eastAsia="en-US"/>
              </w:rPr>
              <w:t>На основании результатов оценки и сопоставления заявок на участие в запросе предложений в электронной форме Комиссией каждой заявке на участие в запросе предложений в электронной форме относительно других по мере уменьшения степени выгодности содержащихся в них условий исполнения договора присваивается порядковый номер. Заявке на участие в запросе предложений в электронной форме, в которой содержатся лучшие условия исполнения договора, присваивается первый номер.</w:t>
            </w:r>
          </w:p>
          <w:p w:rsidR="0051592B" w:rsidRDefault="0051592B">
            <w:pPr>
              <w:ind w:firstLine="39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случае, если в нескольких заявках на участие в запросе предложений содержатся одинаковые условия исполнения договора, меньший порядковый номер присваивается заявке на участие в запросе предложений в электронной форме, которая поступила ранее других заявок на участие в запросе предложений в электронной форме, содержащих такие условия. </w:t>
            </w:r>
          </w:p>
          <w:p w:rsidR="0051592B" w:rsidRDefault="0051592B">
            <w:pPr>
              <w:ind w:right="142"/>
              <w:rPr>
                <w:b/>
                <w:lang w:eastAsia="en-US"/>
              </w:rPr>
            </w:pPr>
            <w:r>
              <w:rPr>
                <w:lang w:eastAsia="en-US"/>
              </w:rPr>
              <w:t>Победителем запроса предложений в электронной форме признается участник, который предложил лучшие условия исполнения договора и заявке на участие в запросе предложений в электронной форме которого присвоен первый номер.</w:t>
            </w:r>
          </w:p>
          <w:p w:rsidR="0051592B" w:rsidRDefault="0051592B">
            <w:pPr>
              <w:ind w:right="142" w:firstLine="359"/>
              <w:rPr>
                <w:b/>
                <w:lang w:eastAsia="en-US"/>
              </w:rPr>
            </w:pPr>
          </w:p>
        </w:tc>
      </w:tr>
    </w:tbl>
    <w:p w:rsidR="0051592B" w:rsidRDefault="0051592B" w:rsidP="0051592B">
      <w:pPr>
        <w:keepNext/>
        <w:jc w:val="right"/>
        <w:outlineLvl w:val="1"/>
        <w:rPr>
          <w:bCs/>
        </w:rPr>
      </w:pPr>
    </w:p>
    <w:p w:rsidR="0051592B" w:rsidRDefault="0051592B" w:rsidP="0051592B">
      <w:pPr>
        <w:spacing w:after="200" w:line="276" w:lineRule="auto"/>
        <w:jc w:val="right"/>
        <w:rPr>
          <w:color w:val="1E1E1E"/>
          <w:vertAlign w:val="superscript"/>
        </w:rPr>
      </w:pPr>
      <w:r>
        <w:rPr>
          <w:bCs/>
        </w:rPr>
        <w:br w:type="page"/>
      </w:r>
      <w:r>
        <w:rPr>
          <w:color w:val="1E1E1E"/>
          <w:vertAlign w:val="superscript"/>
        </w:rPr>
        <w:lastRenderedPageBreak/>
        <w:t xml:space="preserve"> </w:t>
      </w:r>
    </w:p>
    <w:p w:rsidR="0051592B" w:rsidRDefault="0051592B" w:rsidP="0051592B">
      <w:pPr>
        <w:spacing w:line="276" w:lineRule="auto"/>
        <w:rPr>
          <w:color w:val="1E1E1E"/>
          <w:vertAlign w:val="superscript"/>
        </w:rPr>
      </w:pPr>
    </w:p>
    <w:p w:rsidR="00C657EC" w:rsidRDefault="00C657EC"/>
    <w:sectPr w:rsidR="00C65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2B"/>
    <w:rsid w:val="001E5E34"/>
    <w:rsid w:val="0051592B"/>
    <w:rsid w:val="009516C5"/>
    <w:rsid w:val="00C657EC"/>
    <w:rsid w:val="00FB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C3CD2-C73B-4EF2-8956-3E257BD1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7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PC_205_LobkovaLA</dc:creator>
  <cp:keywords/>
  <dc:description/>
  <cp:lastModifiedBy>PC_205_LobkovaLA</cp:lastModifiedBy>
  <cp:revision>4</cp:revision>
  <dcterms:created xsi:type="dcterms:W3CDTF">2024-05-17T08:25:00Z</dcterms:created>
  <dcterms:modified xsi:type="dcterms:W3CDTF">2024-05-17T10:02:00Z</dcterms:modified>
</cp:coreProperties>
</file>