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70B3" w:rsidRDefault="00E02AF1" w:rsidP="001270B3">
      <w:pPr>
        <w:widowControl w:val="0"/>
        <w:jc w:val="right"/>
        <w:rPr>
          <w:b/>
        </w:rPr>
      </w:pPr>
      <w:r>
        <w:rPr>
          <w:sz w:val="22"/>
          <w:szCs w:val="22"/>
        </w:rPr>
        <w:t xml:space="preserve"> </w:t>
      </w:r>
      <w:r w:rsidR="001270B3">
        <w:rPr>
          <w:b/>
        </w:rPr>
        <w:t>Приложение №4</w:t>
      </w:r>
    </w:p>
    <w:p w:rsidR="001270B3" w:rsidRDefault="001270B3" w:rsidP="001270B3">
      <w:pPr>
        <w:widowControl w:val="0"/>
        <w:jc w:val="right"/>
        <w:rPr>
          <w:b/>
          <w:bCs/>
        </w:rPr>
      </w:pPr>
      <w:r>
        <w:rPr>
          <w:b/>
          <w:bCs/>
        </w:rPr>
        <w:t>к Документации о проведении запроса предложений в электронной форме</w:t>
      </w:r>
    </w:p>
    <w:p w:rsidR="001270B3" w:rsidRDefault="001270B3" w:rsidP="001270B3">
      <w:pPr>
        <w:widowControl w:val="0"/>
        <w:autoSpaceDE w:val="0"/>
        <w:autoSpaceDN w:val="0"/>
        <w:adjustRightInd w:val="0"/>
        <w:spacing w:before="108" w:after="108"/>
        <w:outlineLvl w:val="0"/>
        <w:rPr>
          <w:rFonts w:ascii="Times New Roman CYR" w:hAnsi="Times New Roman CYR" w:cs="Times New Roman CYR"/>
          <w:b/>
          <w:bCs/>
          <w:color w:val="26282F"/>
          <w:sz w:val="28"/>
          <w:szCs w:val="28"/>
        </w:rPr>
      </w:pPr>
      <w:r>
        <w:rPr>
          <w:rFonts w:ascii="Times New Roman CYR" w:hAnsi="Times New Roman CYR" w:cs="Times New Roman CYR"/>
          <w:b/>
          <w:bCs/>
          <w:color w:val="26282F"/>
          <w:sz w:val="28"/>
          <w:szCs w:val="28"/>
        </w:rPr>
        <w:t>КРИТЕРИИ И ПОРЯДОК ОЦЕНКИ И СОПОСТАВЛЕНИЯ ЗАЯВОК</w:t>
      </w:r>
    </w:p>
    <w:p w:rsidR="001270B3" w:rsidRDefault="001270B3" w:rsidP="001270B3">
      <w:pPr>
        <w:widowControl w:val="0"/>
        <w:suppressAutoHyphens/>
        <w:autoSpaceDE w:val="0"/>
        <w:autoSpaceDN w:val="0"/>
        <w:adjustRightInd w:val="0"/>
        <w:ind w:firstLine="567"/>
        <w:jc w:val="both"/>
        <w:rPr>
          <w:b/>
          <w:bCs/>
        </w:rPr>
      </w:pPr>
      <w:r>
        <w:rPr>
          <w:b/>
          <w:bCs/>
        </w:rPr>
        <w:t>5.1. Общая информация о критериях оценки.</w:t>
      </w:r>
    </w:p>
    <w:p w:rsidR="001270B3" w:rsidRDefault="001270B3" w:rsidP="001270B3">
      <w:pPr>
        <w:widowControl w:val="0"/>
        <w:suppressAutoHyphens/>
        <w:autoSpaceDE w:val="0"/>
        <w:autoSpaceDN w:val="0"/>
        <w:adjustRightInd w:val="0"/>
        <w:ind w:firstLine="567"/>
        <w:jc w:val="both"/>
        <w:rPr>
          <w:rFonts w:eastAsia="Calibri"/>
          <w:lang w:eastAsia="zh-CN"/>
        </w:rPr>
      </w:pPr>
      <w:r>
        <w:t>Для оценки заявок Заказчиком применяется бальная система оценки заявок с учетом предельных величин каждого критерия оценки заявок, определяемых Положением о закупке Заказчика.</w:t>
      </w:r>
    </w:p>
    <w:p w:rsidR="001270B3" w:rsidRDefault="001270B3" w:rsidP="001270B3">
      <w:pPr>
        <w:widowControl w:val="0"/>
        <w:suppressAutoHyphens/>
        <w:autoSpaceDE w:val="0"/>
        <w:autoSpaceDN w:val="0"/>
        <w:adjustRightInd w:val="0"/>
        <w:ind w:firstLine="567"/>
        <w:jc w:val="both"/>
        <w:rPr>
          <w:lang w:eastAsia="zh-CN"/>
        </w:rPr>
      </w:pPr>
      <w:r>
        <w:t xml:space="preserve">В настоящей документации применяются следующие термины: </w:t>
      </w:r>
    </w:p>
    <w:p w:rsidR="001270B3" w:rsidRDefault="001270B3" w:rsidP="001270B3">
      <w:pPr>
        <w:widowControl w:val="0"/>
        <w:suppressAutoHyphens/>
        <w:autoSpaceDE w:val="0"/>
        <w:autoSpaceDN w:val="0"/>
        <w:adjustRightInd w:val="0"/>
        <w:ind w:firstLine="567"/>
        <w:jc w:val="both"/>
        <w:rPr>
          <w:lang w:eastAsia="zh-CN"/>
        </w:rPr>
      </w:pPr>
      <w:r>
        <w:t xml:space="preserve">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лучших условий исполнения договора, указанных в заявках (предложениях) участников закупки, которые не были отклонены; </w:t>
      </w:r>
    </w:p>
    <w:p w:rsidR="001270B3" w:rsidRDefault="001270B3" w:rsidP="001270B3">
      <w:pPr>
        <w:widowControl w:val="0"/>
        <w:suppressAutoHyphens/>
        <w:autoSpaceDE w:val="0"/>
        <w:autoSpaceDN w:val="0"/>
        <w:adjustRightInd w:val="0"/>
        <w:ind w:firstLine="567"/>
        <w:jc w:val="both"/>
        <w:rPr>
          <w:lang w:eastAsia="zh-CN"/>
        </w:rPr>
      </w:pPr>
      <w:r>
        <w:t xml:space="preserve">Значимость критерия оценки – вес критерия оценки в совокупности критериев оценки, установленных в документации о закупке, выраженный в процентах; </w:t>
      </w:r>
    </w:p>
    <w:p w:rsidR="001270B3" w:rsidRDefault="001270B3" w:rsidP="001270B3">
      <w:pPr>
        <w:widowControl w:val="0"/>
        <w:suppressAutoHyphens/>
        <w:autoSpaceDE w:val="0"/>
        <w:autoSpaceDN w:val="0"/>
        <w:adjustRightInd w:val="0"/>
        <w:ind w:firstLine="567"/>
        <w:jc w:val="both"/>
        <w:rPr>
          <w:lang w:eastAsia="zh-CN"/>
        </w:rPr>
      </w:pPr>
      <w:r>
        <w:t xml:space="preserve">Коэффициент значимости критерия оценки – вес критерия оценки в совокупности критериев оценки, установленных в документации о закупке, деленный на 100; </w:t>
      </w:r>
    </w:p>
    <w:p w:rsidR="001270B3" w:rsidRDefault="001270B3" w:rsidP="001270B3">
      <w:pPr>
        <w:widowControl w:val="0"/>
        <w:suppressAutoHyphens/>
        <w:autoSpaceDE w:val="0"/>
        <w:autoSpaceDN w:val="0"/>
        <w:adjustRightInd w:val="0"/>
        <w:ind w:firstLine="567"/>
        <w:jc w:val="both"/>
        <w:rPr>
          <w:lang w:eastAsia="zh-CN"/>
        </w:rPr>
      </w:pPr>
      <w: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1270B3" w:rsidRDefault="001270B3" w:rsidP="001270B3">
      <w:pPr>
        <w:widowControl w:val="0"/>
        <w:suppressAutoHyphens/>
        <w:autoSpaceDE w:val="0"/>
        <w:autoSpaceDN w:val="0"/>
        <w:adjustRightInd w:val="0"/>
        <w:ind w:firstLine="567"/>
        <w:jc w:val="both"/>
        <w:rPr>
          <w:lang w:eastAsia="zh-CN"/>
        </w:rPr>
      </w:pPr>
      <w:r>
        <w:t xml:space="preserve">Сумма величин значимости критериев оценки составляет 100 процентов. Для оценки заявок по каждому критерию оценки используется 100-балльная шкала оценки. </w:t>
      </w:r>
    </w:p>
    <w:p w:rsidR="001270B3" w:rsidRDefault="001270B3" w:rsidP="001270B3">
      <w:pPr>
        <w:widowControl w:val="0"/>
        <w:suppressAutoHyphens/>
        <w:autoSpaceDE w:val="0"/>
        <w:autoSpaceDN w:val="0"/>
        <w:adjustRightInd w:val="0"/>
        <w:ind w:firstLine="567"/>
        <w:jc w:val="both"/>
        <w:rPr>
          <w:lang w:eastAsia="zh-CN"/>
        </w:rPr>
      </w:pPr>
      <w: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 Итоговый рейтинг заявки вычисляется как сумма рейтингов по каждому критерию оценки заявки.</w:t>
      </w:r>
    </w:p>
    <w:p w:rsidR="001270B3" w:rsidRDefault="001270B3" w:rsidP="001270B3">
      <w:pPr>
        <w:widowControl w:val="0"/>
        <w:suppressAutoHyphens/>
        <w:autoSpaceDE w:val="0"/>
        <w:autoSpaceDN w:val="0"/>
        <w:adjustRightInd w:val="0"/>
        <w:ind w:firstLine="567"/>
        <w:jc w:val="both"/>
        <w:rPr>
          <w:lang w:eastAsia="zh-CN"/>
        </w:rPr>
      </w:pPr>
      <w:r>
        <w:t xml:space="preserve">Победителем признается участник закупки, заявке которого присвоен самый высокий итоговый рейтинг. Заявке такого участника закупки присваивается первый порядковый номер. </w:t>
      </w:r>
    </w:p>
    <w:p w:rsidR="001270B3" w:rsidRDefault="001270B3" w:rsidP="001270B3">
      <w:pPr>
        <w:widowControl w:val="0"/>
        <w:suppressAutoHyphens/>
        <w:autoSpaceDE w:val="0"/>
        <w:autoSpaceDN w:val="0"/>
        <w:adjustRightInd w:val="0"/>
        <w:ind w:firstLine="567"/>
        <w:jc w:val="both"/>
      </w:pPr>
      <w:r>
        <w:t>Для оценки заявок участников закупки устанавливаются следующие критерии:</w:t>
      </w:r>
    </w:p>
    <w:p w:rsidR="001270B3" w:rsidRDefault="001270B3" w:rsidP="001270B3">
      <w:pPr>
        <w:widowControl w:val="0"/>
        <w:suppressAutoHyphens/>
        <w:autoSpaceDE w:val="0"/>
        <w:autoSpaceDN w:val="0"/>
        <w:adjustRightInd w:val="0"/>
        <w:ind w:firstLine="567"/>
        <w:jc w:val="both"/>
        <w:rPr>
          <w:rFonts w:eastAsia="Calibri"/>
          <w:lang w:eastAsia="zh-CN"/>
        </w:rPr>
      </w:pPr>
    </w:p>
    <w:p w:rsidR="001270B3" w:rsidRDefault="001270B3" w:rsidP="001270B3">
      <w:pPr>
        <w:pStyle w:val="1"/>
        <w:widowControl w:val="0"/>
        <w:tabs>
          <w:tab w:val="left" w:pos="993"/>
        </w:tabs>
        <w:spacing w:after="0" w:line="240" w:lineRule="auto"/>
        <w:ind w:left="0" w:firstLine="425"/>
        <w:jc w:val="both"/>
        <w:rPr>
          <w:rFonts w:ascii="Times New Roman" w:hAnsi="Times New Roman"/>
          <w:sz w:val="24"/>
          <w:szCs w:val="24"/>
        </w:rPr>
      </w:pPr>
      <w:r>
        <w:rPr>
          <w:rFonts w:ascii="Times New Roman" w:hAnsi="Times New Roman"/>
          <w:sz w:val="24"/>
          <w:szCs w:val="24"/>
        </w:rPr>
        <w:t>При оценке предложений заказчиком применяется следующая балльная система оценки заявок с учетом следующих показателей (критериев):</w:t>
      </w:r>
    </w:p>
    <w:p w:rsidR="001270B3" w:rsidRDefault="001270B3" w:rsidP="001270B3">
      <w:pPr>
        <w:pStyle w:val="1"/>
        <w:widowControl w:val="0"/>
        <w:tabs>
          <w:tab w:val="left" w:pos="993"/>
        </w:tabs>
        <w:spacing w:after="0" w:line="240" w:lineRule="auto"/>
        <w:ind w:left="0" w:firstLine="425"/>
        <w:jc w:val="both"/>
        <w:rPr>
          <w:rFonts w:ascii="Times New Roman" w:hAnsi="Times New Roman"/>
          <w:sz w:val="24"/>
          <w:szCs w:val="24"/>
        </w:rPr>
      </w:pPr>
    </w:p>
    <w:tbl>
      <w:tblPr>
        <w:tblW w:w="580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4"/>
        <w:gridCol w:w="1841"/>
      </w:tblGrid>
      <w:tr w:rsidR="001270B3" w:rsidTr="001270B3">
        <w:trPr>
          <w:cantSplit/>
          <w:trHeight w:val="229"/>
        </w:trPr>
        <w:tc>
          <w:tcPr>
            <w:tcW w:w="3969" w:type="dxa"/>
            <w:tcBorders>
              <w:top w:val="single" w:sz="4" w:space="0" w:color="auto"/>
              <w:left w:val="single" w:sz="4" w:space="0" w:color="auto"/>
              <w:bottom w:val="single" w:sz="4" w:space="0" w:color="auto"/>
              <w:right w:val="single" w:sz="4" w:space="0" w:color="auto"/>
            </w:tcBorders>
            <w:hideMark/>
          </w:tcPr>
          <w:p w:rsidR="001270B3" w:rsidRDefault="001270B3">
            <w:pPr>
              <w:pStyle w:val="1"/>
              <w:widowControl w:val="0"/>
              <w:tabs>
                <w:tab w:val="left" w:pos="34"/>
              </w:tabs>
              <w:spacing w:after="0" w:line="240" w:lineRule="auto"/>
              <w:ind w:left="0"/>
              <w:jc w:val="both"/>
              <w:rPr>
                <w:rFonts w:ascii="Times New Roman" w:hAnsi="Times New Roman"/>
                <w:i/>
                <w:sz w:val="24"/>
                <w:szCs w:val="24"/>
              </w:rPr>
            </w:pPr>
            <w:r>
              <w:rPr>
                <w:rFonts w:ascii="Times New Roman" w:hAnsi="Times New Roman"/>
                <w:i/>
                <w:sz w:val="24"/>
                <w:szCs w:val="24"/>
              </w:rPr>
              <w:t>Наименование критерия</w:t>
            </w:r>
          </w:p>
        </w:tc>
        <w:tc>
          <w:tcPr>
            <w:tcW w:w="1843" w:type="dxa"/>
            <w:tcBorders>
              <w:top w:val="single" w:sz="4" w:space="0" w:color="auto"/>
              <w:left w:val="single" w:sz="4" w:space="0" w:color="auto"/>
              <w:bottom w:val="single" w:sz="4" w:space="0" w:color="auto"/>
              <w:right w:val="single" w:sz="4" w:space="0" w:color="auto"/>
            </w:tcBorders>
            <w:hideMark/>
          </w:tcPr>
          <w:p w:rsidR="001270B3" w:rsidRDefault="001270B3">
            <w:pPr>
              <w:pStyle w:val="1"/>
              <w:widowControl w:val="0"/>
              <w:tabs>
                <w:tab w:val="left" w:pos="34"/>
              </w:tabs>
              <w:spacing w:after="0" w:line="240" w:lineRule="auto"/>
              <w:ind w:left="0"/>
              <w:jc w:val="both"/>
              <w:rPr>
                <w:rFonts w:ascii="Times New Roman" w:hAnsi="Times New Roman"/>
                <w:i/>
                <w:sz w:val="24"/>
                <w:szCs w:val="24"/>
              </w:rPr>
            </w:pPr>
            <w:r>
              <w:rPr>
                <w:rFonts w:ascii="Times New Roman" w:hAnsi="Times New Roman"/>
                <w:i/>
                <w:sz w:val="24"/>
                <w:szCs w:val="24"/>
              </w:rPr>
              <w:t>Вес критерия</w:t>
            </w:r>
          </w:p>
        </w:tc>
      </w:tr>
      <w:tr w:rsidR="001270B3" w:rsidTr="001270B3">
        <w:trPr>
          <w:cantSplit/>
          <w:trHeight w:val="229"/>
        </w:trPr>
        <w:tc>
          <w:tcPr>
            <w:tcW w:w="3969" w:type="dxa"/>
            <w:tcBorders>
              <w:top w:val="single" w:sz="4" w:space="0" w:color="auto"/>
              <w:left w:val="single" w:sz="4" w:space="0" w:color="auto"/>
              <w:bottom w:val="single" w:sz="4" w:space="0" w:color="auto"/>
              <w:right w:val="single" w:sz="4" w:space="0" w:color="auto"/>
            </w:tcBorders>
            <w:hideMark/>
          </w:tcPr>
          <w:p w:rsidR="001270B3" w:rsidRDefault="001270B3">
            <w:pPr>
              <w:pStyle w:val="2"/>
              <w:widowControl w:val="0"/>
              <w:tabs>
                <w:tab w:val="num" w:pos="0"/>
              </w:tabs>
              <w:spacing w:line="240" w:lineRule="auto"/>
              <w:ind w:left="0" w:firstLine="0"/>
              <w:rPr>
                <w:rFonts w:eastAsia="Calibri"/>
                <w:b w:val="0"/>
                <w:sz w:val="24"/>
                <w:szCs w:val="24"/>
                <w:lang w:eastAsia="en-US"/>
              </w:rPr>
            </w:pPr>
            <w:r>
              <w:rPr>
                <w:rFonts w:eastAsia="Calibri"/>
                <w:b w:val="0"/>
                <w:sz w:val="24"/>
                <w:szCs w:val="24"/>
                <w:lang w:eastAsia="en-US"/>
              </w:rPr>
              <w:t>Цена</w:t>
            </w:r>
          </w:p>
        </w:tc>
        <w:tc>
          <w:tcPr>
            <w:tcW w:w="1843" w:type="dxa"/>
            <w:tcBorders>
              <w:top w:val="single" w:sz="4" w:space="0" w:color="auto"/>
              <w:left w:val="single" w:sz="4" w:space="0" w:color="auto"/>
              <w:bottom w:val="single" w:sz="4" w:space="0" w:color="auto"/>
              <w:right w:val="single" w:sz="4" w:space="0" w:color="auto"/>
            </w:tcBorders>
            <w:hideMark/>
          </w:tcPr>
          <w:p w:rsidR="001270B3" w:rsidRDefault="001270B3">
            <w:pPr>
              <w:pStyle w:val="2"/>
              <w:widowControl w:val="0"/>
              <w:tabs>
                <w:tab w:val="num" w:pos="0"/>
                <w:tab w:val="center" w:pos="813"/>
              </w:tabs>
              <w:spacing w:line="240" w:lineRule="auto"/>
              <w:ind w:left="0" w:firstLine="0"/>
              <w:rPr>
                <w:rFonts w:eastAsia="Calibri"/>
                <w:b w:val="0"/>
                <w:sz w:val="24"/>
                <w:szCs w:val="24"/>
                <w:lang w:eastAsia="en-US"/>
              </w:rPr>
            </w:pPr>
            <w:r>
              <w:rPr>
                <w:rFonts w:eastAsia="Calibri"/>
                <w:b w:val="0"/>
                <w:sz w:val="24"/>
                <w:szCs w:val="24"/>
                <w:lang w:eastAsia="en-US"/>
              </w:rPr>
              <w:t>45</w:t>
            </w:r>
          </w:p>
        </w:tc>
      </w:tr>
      <w:tr w:rsidR="001270B3" w:rsidTr="001270B3">
        <w:trPr>
          <w:cantSplit/>
          <w:trHeight w:val="229"/>
        </w:trPr>
        <w:tc>
          <w:tcPr>
            <w:tcW w:w="3969" w:type="dxa"/>
            <w:tcBorders>
              <w:top w:val="single" w:sz="4" w:space="0" w:color="auto"/>
              <w:left w:val="single" w:sz="4" w:space="0" w:color="auto"/>
              <w:bottom w:val="single" w:sz="4" w:space="0" w:color="auto"/>
              <w:right w:val="single" w:sz="4" w:space="0" w:color="auto"/>
            </w:tcBorders>
            <w:hideMark/>
          </w:tcPr>
          <w:p w:rsidR="001270B3" w:rsidRDefault="001270B3">
            <w:pPr>
              <w:pStyle w:val="2"/>
              <w:widowControl w:val="0"/>
              <w:tabs>
                <w:tab w:val="num" w:pos="0"/>
              </w:tabs>
              <w:spacing w:line="240" w:lineRule="auto"/>
              <w:ind w:left="0" w:firstLine="0"/>
              <w:rPr>
                <w:rFonts w:eastAsia="Calibri"/>
                <w:b w:val="0"/>
                <w:sz w:val="24"/>
                <w:szCs w:val="24"/>
                <w:lang w:eastAsia="en-US"/>
              </w:rPr>
            </w:pPr>
            <w:r>
              <w:rPr>
                <w:rFonts w:eastAsia="Calibri"/>
                <w:b w:val="0"/>
                <w:sz w:val="24"/>
                <w:szCs w:val="24"/>
                <w:lang w:eastAsia="en-US"/>
              </w:rPr>
              <w:t>Квалификация участника (опыт аналогичных работ)</w:t>
            </w:r>
          </w:p>
        </w:tc>
        <w:tc>
          <w:tcPr>
            <w:tcW w:w="1843" w:type="dxa"/>
            <w:tcBorders>
              <w:top w:val="single" w:sz="4" w:space="0" w:color="auto"/>
              <w:left w:val="single" w:sz="4" w:space="0" w:color="auto"/>
              <w:bottom w:val="single" w:sz="4" w:space="0" w:color="auto"/>
              <w:right w:val="single" w:sz="4" w:space="0" w:color="auto"/>
            </w:tcBorders>
            <w:hideMark/>
          </w:tcPr>
          <w:p w:rsidR="001270B3" w:rsidRDefault="001270B3">
            <w:pPr>
              <w:pStyle w:val="2"/>
              <w:widowControl w:val="0"/>
              <w:tabs>
                <w:tab w:val="num" w:pos="0"/>
              </w:tabs>
              <w:spacing w:line="240" w:lineRule="auto"/>
              <w:ind w:left="0" w:firstLine="0"/>
              <w:rPr>
                <w:rFonts w:eastAsia="Calibri"/>
                <w:b w:val="0"/>
                <w:sz w:val="24"/>
                <w:szCs w:val="24"/>
                <w:lang w:eastAsia="en-US"/>
              </w:rPr>
            </w:pPr>
            <w:r>
              <w:rPr>
                <w:rFonts w:eastAsia="Calibri"/>
                <w:b w:val="0"/>
                <w:sz w:val="24"/>
                <w:szCs w:val="24"/>
                <w:lang w:eastAsia="en-US"/>
              </w:rPr>
              <w:t>40</w:t>
            </w:r>
          </w:p>
        </w:tc>
      </w:tr>
      <w:tr w:rsidR="001270B3" w:rsidTr="001270B3">
        <w:trPr>
          <w:cantSplit/>
          <w:trHeight w:val="229"/>
        </w:trPr>
        <w:tc>
          <w:tcPr>
            <w:tcW w:w="3969" w:type="dxa"/>
            <w:tcBorders>
              <w:top w:val="single" w:sz="4" w:space="0" w:color="auto"/>
              <w:left w:val="single" w:sz="4" w:space="0" w:color="auto"/>
              <w:bottom w:val="single" w:sz="4" w:space="0" w:color="auto"/>
              <w:right w:val="single" w:sz="4" w:space="0" w:color="auto"/>
            </w:tcBorders>
            <w:hideMark/>
          </w:tcPr>
          <w:p w:rsidR="001270B3" w:rsidRDefault="001270B3">
            <w:pPr>
              <w:pStyle w:val="2"/>
              <w:widowControl w:val="0"/>
              <w:tabs>
                <w:tab w:val="num" w:pos="0"/>
              </w:tabs>
              <w:spacing w:line="240" w:lineRule="auto"/>
              <w:ind w:left="0" w:firstLine="0"/>
              <w:rPr>
                <w:rFonts w:eastAsia="Calibri"/>
                <w:b w:val="0"/>
                <w:sz w:val="24"/>
                <w:szCs w:val="24"/>
                <w:lang w:eastAsia="en-US"/>
              </w:rPr>
            </w:pPr>
            <w:r>
              <w:rPr>
                <w:rFonts w:eastAsia="Calibri"/>
                <w:b w:val="0"/>
                <w:sz w:val="24"/>
                <w:szCs w:val="24"/>
                <w:lang w:eastAsia="en-US"/>
              </w:rPr>
              <w:t>Деловая репутация</w:t>
            </w:r>
          </w:p>
        </w:tc>
        <w:tc>
          <w:tcPr>
            <w:tcW w:w="1843" w:type="dxa"/>
            <w:tcBorders>
              <w:top w:val="single" w:sz="4" w:space="0" w:color="auto"/>
              <w:left w:val="single" w:sz="4" w:space="0" w:color="auto"/>
              <w:bottom w:val="single" w:sz="4" w:space="0" w:color="auto"/>
              <w:right w:val="single" w:sz="4" w:space="0" w:color="auto"/>
            </w:tcBorders>
            <w:hideMark/>
          </w:tcPr>
          <w:p w:rsidR="001270B3" w:rsidRDefault="001270B3">
            <w:pPr>
              <w:pStyle w:val="2"/>
              <w:widowControl w:val="0"/>
              <w:tabs>
                <w:tab w:val="num" w:pos="0"/>
              </w:tabs>
              <w:spacing w:line="240" w:lineRule="auto"/>
              <w:ind w:left="0" w:firstLine="0"/>
              <w:rPr>
                <w:rFonts w:eastAsia="Calibri"/>
                <w:b w:val="0"/>
                <w:sz w:val="24"/>
                <w:szCs w:val="24"/>
                <w:lang w:eastAsia="en-US"/>
              </w:rPr>
            </w:pPr>
            <w:r>
              <w:rPr>
                <w:rFonts w:eastAsia="Calibri"/>
                <w:b w:val="0"/>
                <w:sz w:val="24"/>
                <w:szCs w:val="24"/>
                <w:lang w:eastAsia="en-US"/>
              </w:rPr>
              <w:t>15</w:t>
            </w:r>
          </w:p>
        </w:tc>
      </w:tr>
    </w:tbl>
    <w:p w:rsidR="001270B3" w:rsidRDefault="001270B3" w:rsidP="001270B3">
      <w:pPr>
        <w:widowControl w:val="0"/>
        <w:ind w:firstLine="567"/>
        <w:contextualSpacing/>
        <w:jc w:val="both"/>
      </w:pPr>
    </w:p>
    <w:p w:rsidR="001270B3" w:rsidRDefault="001270B3" w:rsidP="001270B3">
      <w:pPr>
        <w:tabs>
          <w:tab w:val="left" w:pos="567"/>
          <w:tab w:val="left" w:pos="1134"/>
        </w:tabs>
        <w:spacing w:after="120"/>
        <w:jc w:val="both"/>
        <w:rPr>
          <w:b/>
        </w:rPr>
      </w:pPr>
      <w:r>
        <w:rPr>
          <w:b/>
        </w:rPr>
        <w:t>Порядок оценки и сопоставления заявок на участие в закупке:</w:t>
      </w:r>
    </w:p>
    <w:p w:rsidR="001270B3" w:rsidRDefault="001270B3" w:rsidP="001270B3">
      <w:pPr>
        <w:jc w:val="both"/>
      </w:pPr>
      <w:r>
        <w:t>Совокупная значимость критериев оценки заявок составляет 100 (сто) процентов;</w:t>
      </w:r>
    </w:p>
    <w:p w:rsidR="001270B3" w:rsidRDefault="001270B3" w:rsidP="001270B3">
      <w:pPr>
        <w:pStyle w:val="a4"/>
        <w:numPr>
          <w:ilvl w:val="0"/>
          <w:numId w:val="2"/>
        </w:numPr>
        <w:spacing w:after="120"/>
        <w:ind w:left="0" w:firstLine="0"/>
        <w:jc w:val="both"/>
        <w:rPr>
          <w:b/>
        </w:rPr>
      </w:pPr>
      <w:r>
        <w:rPr>
          <w:b/>
        </w:rPr>
        <w:t>Цена договора (значимость критерия - 45%)</w:t>
      </w:r>
    </w:p>
    <w:p w:rsidR="001270B3" w:rsidRDefault="001270B3" w:rsidP="001270B3">
      <w:pPr>
        <w:jc w:val="center"/>
      </w:pPr>
      <w:proofErr w:type="spellStart"/>
      <w:r>
        <w:t>Rai</w:t>
      </w:r>
      <w:proofErr w:type="spellEnd"/>
      <w:r>
        <w:t xml:space="preserve"> = (</w:t>
      </w:r>
      <w:proofErr w:type="spellStart"/>
      <w:r>
        <w:t>Amin</w:t>
      </w:r>
      <w:proofErr w:type="spellEnd"/>
      <w:r>
        <w:t xml:space="preserve">/ </w:t>
      </w:r>
      <w:proofErr w:type="spellStart"/>
      <w:r>
        <w:t>Ai</w:t>
      </w:r>
      <w:proofErr w:type="spellEnd"/>
      <w:r>
        <w:t>)*100*45%</w:t>
      </w:r>
    </w:p>
    <w:p w:rsidR="001270B3" w:rsidRDefault="001270B3" w:rsidP="001270B3">
      <w:pPr>
        <w:spacing w:after="120"/>
        <w:jc w:val="both"/>
      </w:pPr>
      <w:r>
        <w:t xml:space="preserve">где </w:t>
      </w:r>
      <w:proofErr w:type="spellStart"/>
      <w:r>
        <w:t>Amin</w:t>
      </w:r>
      <w:proofErr w:type="spellEnd"/>
      <w:r>
        <w:t xml:space="preserve"> – минимальное предложение из предложений по критерию оценки, сделанных участниками размещения заказа, </w:t>
      </w:r>
      <w:proofErr w:type="spellStart"/>
      <w:r>
        <w:t>Ai</w:t>
      </w:r>
      <w:proofErr w:type="spellEnd"/>
      <w:r>
        <w:t xml:space="preserve"> – цена, предложенная i-м участником размещения заказа</w:t>
      </w:r>
    </w:p>
    <w:p w:rsidR="001270B3" w:rsidRDefault="001270B3" w:rsidP="001270B3">
      <w:pPr>
        <w:spacing w:after="120"/>
        <w:jc w:val="both"/>
        <w:rPr>
          <w:b/>
          <w:bCs/>
          <w:iCs/>
        </w:rPr>
      </w:pPr>
      <w:r>
        <w:rPr>
          <w:bCs/>
          <w:iCs/>
        </w:rPr>
        <w:t xml:space="preserve">       2)</w:t>
      </w:r>
      <w:r>
        <w:rPr>
          <w:bCs/>
          <w:iCs/>
        </w:rPr>
        <w:tab/>
      </w:r>
      <w:r>
        <w:rPr>
          <w:b/>
          <w:bCs/>
          <w:iCs/>
        </w:rPr>
        <w:t>квалификация участника запроса предложений – 40%</w:t>
      </w:r>
    </w:p>
    <w:p w:rsidR="001270B3" w:rsidRDefault="001270B3" w:rsidP="001270B3">
      <w:pPr>
        <w:spacing w:after="120"/>
        <w:jc w:val="both"/>
        <w:rPr>
          <w:bCs/>
          <w:iCs/>
          <w:highlight w:val="yellow"/>
        </w:rPr>
      </w:pPr>
      <w:r>
        <w:rPr>
          <w:bCs/>
          <w:iCs/>
        </w:rPr>
        <w:t>Подтверждается количеством ранее выполненных аналогичных договоров (исполненных договоров, контрактов) за последние пять лет (форма 2);</w:t>
      </w:r>
    </w:p>
    <w:p w:rsidR="001270B3" w:rsidRDefault="001270B3" w:rsidP="001270B3">
      <w:pPr>
        <w:spacing w:after="120"/>
        <w:jc w:val="both"/>
        <w:rPr>
          <w:bCs/>
          <w:iCs/>
        </w:rPr>
      </w:pPr>
      <w:r>
        <w:rPr>
          <w:bCs/>
          <w:iCs/>
        </w:rPr>
        <w:lastRenderedPageBreak/>
        <w:t xml:space="preserve">Участник   должен предоставить данные </w:t>
      </w:r>
      <w:proofErr w:type="gramStart"/>
      <w:r>
        <w:rPr>
          <w:bCs/>
          <w:iCs/>
        </w:rPr>
        <w:t>о</w:t>
      </w:r>
      <w:proofErr w:type="gramEnd"/>
      <w:r>
        <w:rPr>
          <w:bCs/>
          <w:iCs/>
        </w:rPr>
        <w:t xml:space="preserve"> исполненных аналогичных предмету договорах настоящего запроса предложений работ, исполненных договоров (контрактов) за период с 2018 по 2023 годы. </w:t>
      </w:r>
    </w:p>
    <w:p w:rsidR="001270B3" w:rsidRDefault="001270B3" w:rsidP="001270B3">
      <w:pPr>
        <w:jc w:val="both"/>
        <w:rPr>
          <w:b/>
          <w:bCs/>
          <w:iCs/>
        </w:rPr>
      </w:pPr>
      <w:proofErr w:type="gramStart"/>
      <w:r>
        <w:rPr>
          <w:bCs/>
          <w:iCs/>
        </w:rPr>
        <w:t>К сведениям участник обязан приложить копии договоров (копии первых и последних листов заключенных и исполненных договоров/контрактов и копии актов выполненных работ по ним.</w:t>
      </w:r>
      <w:proofErr w:type="gramEnd"/>
      <w:r>
        <w:rPr>
          <w:bCs/>
          <w:iCs/>
        </w:rPr>
        <w:t xml:space="preserve"> Сведения по договорам (контрактам) без приложения соответствующих копий не рассматриваются.</w:t>
      </w:r>
      <w:r>
        <w:rPr>
          <w:b/>
          <w:bCs/>
          <w:iCs/>
        </w:rPr>
        <w:t xml:space="preserve"> </w:t>
      </w:r>
    </w:p>
    <w:p w:rsidR="001270B3" w:rsidRDefault="001270B3" w:rsidP="001270B3">
      <w:pPr>
        <w:jc w:val="both"/>
        <w:rPr>
          <w:bCs/>
          <w:iCs/>
        </w:rPr>
      </w:pPr>
      <w:r>
        <w:rPr>
          <w:bCs/>
          <w:iCs/>
        </w:rPr>
        <w:t xml:space="preserve">Рейтинг </w:t>
      </w:r>
      <w:proofErr w:type="spellStart"/>
      <w:r>
        <w:rPr>
          <w:bCs/>
          <w:iCs/>
        </w:rPr>
        <w:t>Rci</w:t>
      </w:r>
      <w:proofErr w:type="spellEnd"/>
      <w:r>
        <w:rPr>
          <w:bCs/>
          <w:iCs/>
        </w:rPr>
        <w:t xml:space="preserve"> по данному критерию рассчитывается по формуле, где</w:t>
      </w:r>
    </w:p>
    <w:p w:rsidR="001270B3" w:rsidRDefault="001270B3" w:rsidP="001270B3">
      <w:pPr>
        <w:jc w:val="both"/>
        <w:rPr>
          <w:bCs/>
          <w:iCs/>
        </w:rPr>
      </w:pPr>
      <w:proofErr w:type="spellStart"/>
      <w:r>
        <w:rPr>
          <w:bCs/>
          <w:iCs/>
        </w:rPr>
        <w:t>Rci</w:t>
      </w:r>
      <w:proofErr w:type="spellEnd"/>
      <w:r>
        <w:rPr>
          <w:bCs/>
          <w:iCs/>
        </w:rPr>
        <w:t xml:space="preserve"> = (</w:t>
      </w:r>
      <w:r>
        <w:rPr>
          <w:bCs/>
          <w:iCs/>
          <w:lang w:val="en-US"/>
        </w:rPr>
        <w:t>R</w:t>
      </w:r>
      <w:proofErr w:type="spellStart"/>
      <w:r>
        <w:rPr>
          <w:bCs/>
          <w:iCs/>
        </w:rPr>
        <w:t>i</w:t>
      </w:r>
      <w:proofErr w:type="spellEnd"/>
      <w:r>
        <w:rPr>
          <w:bCs/>
          <w:iCs/>
        </w:rPr>
        <w:t>/</w:t>
      </w:r>
      <w:proofErr w:type="gramStart"/>
      <w:r>
        <w:rPr>
          <w:bCs/>
          <w:iCs/>
          <w:lang w:val="en-US"/>
        </w:rPr>
        <w:t>R</w:t>
      </w:r>
      <w:proofErr w:type="spellStart"/>
      <w:r>
        <w:rPr>
          <w:bCs/>
          <w:iCs/>
        </w:rPr>
        <w:t>m</w:t>
      </w:r>
      <w:proofErr w:type="gramEnd"/>
      <w:r>
        <w:rPr>
          <w:bCs/>
          <w:iCs/>
        </w:rPr>
        <w:t>ах</w:t>
      </w:r>
      <w:proofErr w:type="spellEnd"/>
      <w:r>
        <w:rPr>
          <w:bCs/>
          <w:iCs/>
        </w:rPr>
        <w:t>)*100*40%</w:t>
      </w:r>
    </w:p>
    <w:p w:rsidR="001270B3" w:rsidRDefault="001270B3" w:rsidP="001270B3">
      <w:pPr>
        <w:jc w:val="both"/>
        <w:rPr>
          <w:bCs/>
          <w:iCs/>
        </w:rPr>
      </w:pPr>
      <w:r>
        <w:rPr>
          <w:bCs/>
          <w:iCs/>
          <w:lang w:val="en-US"/>
        </w:rPr>
        <w:t>R</w:t>
      </w:r>
      <w:proofErr w:type="spellStart"/>
      <w:r>
        <w:rPr>
          <w:bCs/>
          <w:iCs/>
        </w:rPr>
        <w:t>mах</w:t>
      </w:r>
      <w:proofErr w:type="spellEnd"/>
      <w:r>
        <w:rPr>
          <w:bCs/>
          <w:iCs/>
        </w:rPr>
        <w:t xml:space="preserve"> – максимальное значение показателя по данному критерию среди всех участников</w:t>
      </w:r>
    </w:p>
    <w:p w:rsidR="001270B3" w:rsidRDefault="001270B3" w:rsidP="001270B3">
      <w:pPr>
        <w:jc w:val="both"/>
        <w:rPr>
          <w:bCs/>
          <w:iCs/>
        </w:rPr>
      </w:pPr>
      <w:proofErr w:type="gramStart"/>
      <w:r>
        <w:rPr>
          <w:bCs/>
          <w:iCs/>
          <w:lang w:val="en-US"/>
        </w:rPr>
        <w:t>R</w:t>
      </w:r>
      <w:proofErr w:type="spellStart"/>
      <w:r>
        <w:rPr>
          <w:bCs/>
          <w:iCs/>
        </w:rPr>
        <w:t>i</w:t>
      </w:r>
      <w:proofErr w:type="spellEnd"/>
      <w:proofErr w:type="gramEnd"/>
      <w:r>
        <w:rPr>
          <w:bCs/>
          <w:iCs/>
        </w:rPr>
        <w:t xml:space="preserve"> – значение показателя участника.</w:t>
      </w:r>
    </w:p>
    <w:p w:rsidR="001270B3" w:rsidRDefault="001270B3" w:rsidP="001270B3">
      <w:pPr>
        <w:spacing w:after="120"/>
        <w:jc w:val="both"/>
      </w:pPr>
      <w:r>
        <w:rPr>
          <w:b/>
        </w:rPr>
        <w:t xml:space="preserve">3) Деловая репутация участника запроса предложений (значимость критерия – 15%) </w:t>
      </w:r>
    </w:p>
    <w:p w:rsidR="001270B3" w:rsidRDefault="001270B3" w:rsidP="001270B3">
      <w:pPr>
        <w:pStyle w:val="a4"/>
        <w:ind w:left="0"/>
        <w:jc w:val="both"/>
      </w:pPr>
      <w:r>
        <w:t>Критерий подтверждается копиями благодарственных писем (форма 3).</w:t>
      </w:r>
    </w:p>
    <w:p w:rsidR="001270B3" w:rsidRDefault="001270B3" w:rsidP="001270B3">
      <w:pPr>
        <w:jc w:val="both"/>
      </w:pPr>
      <w:r>
        <w:t xml:space="preserve">Рейтинг </w:t>
      </w:r>
      <w:proofErr w:type="spellStart"/>
      <w:r>
        <w:t>Kci</w:t>
      </w:r>
      <w:proofErr w:type="spellEnd"/>
      <w:r>
        <w:t xml:space="preserve"> по данному критерию рассчитывается по формуле, где</w:t>
      </w:r>
    </w:p>
    <w:p w:rsidR="001270B3" w:rsidRDefault="001270B3" w:rsidP="001270B3">
      <w:pPr>
        <w:jc w:val="both"/>
      </w:pPr>
      <w:r>
        <w:rPr>
          <w:lang w:val="en-US"/>
        </w:rPr>
        <w:t>K</w:t>
      </w:r>
      <w:proofErr w:type="spellStart"/>
      <w:r>
        <w:t>ci</w:t>
      </w:r>
      <w:proofErr w:type="spellEnd"/>
      <w:r>
        <w:t xml:space="preserve"> = (</w:t>
      </w:r>
      <w:proofErr w:type="spellStart"/>
      <w:r>
        <w:t>Ki</w:t>
      </w:r>
      <w:proofErr w:type="spellEnd"/>
      <w:r>
        <w:t>/</w:t>
      </w:r>
      <w:proofErr w:type="spellStart"/>
      <w:r>
        <w:t>Kmах</w:t>
      </w:r>
      <w:proofErr w:type="spellEnd"/>
      <w:r>
        <w:t>)*100*15%</w:t>
      </w:r>
    </w:p>
    <w:p w:rsidR="001270B3" w:rsidRDefault="001270B3" w:rsidP="001270B3">
      <w:pPr>
        <w:jc w:val="both"/>
      </w:pPr>
      <w:proofErr w:type="spellStart"/>
      <w:r>
        <w:t>Kmах</w:t>
      </w:r>
      <w:proofErr w:type="spellEnd"/>
      <w:r>
        <w:t xml:space="preserve"> – максимальное значение показателя по данному критерию среди всех участников</w:t>
      </w:r>
    </w:p>
    <w:p w:rsidR="001270B3" w:rsidRDefault="001270B3" w:rsidP="001270B3">
      <w:pPr>
        <w:jc w:val="both"/>
      </w:pPr>
      <w:proofErr w:type="spellStart"/>
      <w:r>
        <w:t>Ki</w:t>
      </w:r>
      <w:proofErr w:type="spellEnd"/>
      <w:r>
        <w:t xml:space="preserve"> – значение показателя участника.</w:t>
      </w:r>
    </w:p>
    <w:p w:rsidR="001270B3" w:rsidRDefault="001270B3" w:rsidP="001270B3">
      <w:pPr>
        <w:jc w:val="both"/>
      </w:pPr>
      <w:r>
        <w:t>Расчет итогового балла, который присваивается каждой заявке, осуществляется путем суммирования баллов по каждому критерию. На основании суммы баллов каждому Предложению относительно других по мере уменьшения суммы баллов присваивается порядковый номер (производится ранжирование). Предложению, которое набрало максимальную сумму баллов, присваивается первый номер.</w:t>
      </w:r>
    </w:p>
    <w:p w:rsidR="001270B3" w:rsidRDefault="001270B3" w:rsidP="001270B3">
      <w:pPr>
        <w:autoSpaceDE w:val="0"/>
        <w:autoSpaceDN w:val="0"/>
        <w:adjustRightInd w:val="0"/>
      </w:pPr>
      <w:r>
        <w:t>В случае, если в нескольких заявках на участие в запросе предложений содержатся одинаковые условия исполнения контракта, меньший порядковый номер присваивается заявке, которая поступила ранее других заявок, содержащих такие же условия.</w:t>
      </w:r>
    </w:p>
    <w:p w:rsidR="001270B3" w:rsidRDefault="001270B3" w:rsidP="001270B3">
      <w:pPr>
        <w:widowControl w:val="0"/>
        <w:autoSpaceDE w:val="0"/>
        <w:autoSpaceDN w:val="0"/>
        <w:adjustRightInd w:val="0"/>
        <w:ind w:firstLine="567"/>
        <w:jc w:val="both"/>
        <w:rPr>
          <w:b/>
          <w:color w:val="000000"/>
        </w:rPr>
      </w:pPr>
      <w:r>
        <w:rPr>
          <w:b/>
          <w:color w:val="000000"/>
        </w:rPr>
        <w:t>Пояснение: при отсутствии сведений, по какому-либо критерию (подкритерию) – по данному критерию (подкритерию) присваивается балл равный нулю.</w:t>
      </w:r>
    </w:p>
    <w:p w:rsidR="001270B3" w:rsidRDefault="001270B3" w:rsidP="001270B3">
      <w:pPr>
        <w:widowControl w:val="0"/>
        <w:autoSpaceDE w:val="0"/>
        <w:autoSpaceDN w:val="0"/>
        <w:adjustRightInd w:val="0"/>
        <w:ind w:firstLine="567"/>
        <w:jc w:val="both"/>
        <w:rPr>
          <w:rFonts w:cs="Times New Roman CYR"/>
        </w:rPr>
      </w:pPr>
    </w:p>
    <w:p w:rsidR="001270B3" w:rsidRDefault="001270B3" w:rsidP="001270B3">
      <w:pPr>
        <w:widowControl w:val="0"/>
        <w:autoSpaceDE w:val="0"/>
        <w:autoSpaceDN w:val="0"/>
        <w:adjustRightInd w:val="0"/>
        <w:ind w:firstLine="567"/>
        <w:jc w:val="both"/>
        <w:rPr>
          <w:rFonts w:cs="Times New Roman CYR"/>
        </w:rPr>
      </w:pPr>
    </w:p>
    <w:p w:rsidR="001270B3" w:rsidRDefault="001270B3" w:rsidP="001270B3">
      <w:pPr>
        <w:widowControl w:val="0"/>
        <w:tabs>
          <w:tab w:val="left" w:pos="993"/>
        </w:tabs>
        <w:autoSpaceDE w:val="0"/>
        <w:autoSpaceDN w:val="0"/>
        <w:adjustRightInd w:val="0"/>
        <w:snapToGrid w:val="0"/>
        <w:ind w:firstLine="567"/>
        <w:contextualSpacing/>
        <w:jc w:val="both"/>
        <w:rPr>
          <w:rFonts w:eastAsia="Calibri"/>
          <w:b/>
          <w:bCs/>
          <w:color w:val="000000"/>
        </w:rPr>
      </w:pPr>
      <w:r>
        <w:rPr>
          <w:b/>
          <w:bCs/>
          <w:color w:val="000000"/>
        </w:rPr>
        <w:t>Итоговая оценка.</w:t>
      </w:r>
    </w:p>
    <w:p w:rsidR="001270B3" w:rsidRDefault="001270B3" w:rsidP="001270B3">
      <w:pPr>
        <w:widowControl w:val="0"/>
        <w:tabs>
          <w:tab w:val="left" w:pos="993"/>
        </w:tabs>
        <w:autoSpaceDE w:val="0"/>
        <w:autoSpaceDN w:val="0"/>
        <w:adjustRightInd w:val="0"/>
        <w:snapToGrid w:val="0"/>
        <w:ind w:firstLine="567"/>
        <w:contextualSpacing/>
        <w:jc w:val="both"/>
        <w:rPr>
          <w:color w:val="000000"/>
        </w:rPr>
      </w:pPr>
      <w:r>
        <w:rPr>
          <w:color w:val="000000"/>
        </w:rPr>
        <w:t>Суммирование оценок по критериям «Цена договора» и «Квалификация участников закупки» дает окончательную оценку предложения участника закупки.</w:t>
      </w:r>
    </w:p>
    <w:p w:rsidR="001270B3" w:rsidRDefault="001270B3" w:rsidP="001270B3">
      <w:pPr>
        <w:widowControl w:val="0"/>
        <w:autoSpaceDE w:val="0"/>
        <w:autoSpaceDN w:val="0"/>
        <w:adjustRightInd w:val="0"/>
        <w:ind w:firstLine="567"/>
        <w:contextualSpacing/>
        <w:jc w:val="both"/>
        <w:rPr>
          <w:color w:val="000000"/>
        </w:rPr>
      </w:pPr>
      <w:r>
        <w:rPr>
          <w:color w:val="000000"/>
        </w:rPr>
        <w:t xml:space="preserve">Победителем запроса предложений в электронной форме признается участник закупки, набравший наибольшее количество баллов, и Заявке которого закупочной комиссией присвоен первый номер. </w:t>
      </w:r>
    </w:p>
    <w:p w:rsidR="001270B3" w:rsidRDefault="001270B3" w:rsidP="001270B3">
      <w:pPr>
        <w:widowControl w:val="0"/>
        <w:autoSpaceDE w:val="0"/>
        <w:autoSpaceDN w:val="0"/>
        <w:adjustRightInd w:val="0"/>
        <w:ind w:firstLine="567"/>
        <w:contextualSpacing/>
        <w:jc w:val="both"/>
        <w:rPr>
          <w:color w:val="000000"/>
        </w:rPr>
      </w:pPr>
      <w:r>
        <w:rPr>
          <w:color w:val="000000"/>
        </w:rPr>
        <w:t xml:space="preserve">Остальные заявки ранжируются с присвоением порядковых номеров по мере уменьшения выгодности предложений участников закупки. </w:t>
      </w:r>
    </w:p>
    <w:p w:rsidR="001270B3" w:rsidRDefault="001270B3" w:rsidP="001270B3">
      <w:pPr>
        <w:widowControl w:val="0"/>
        <w:autoSpaceDE w:val="0"/>
        <w:autoSpaceDN w:val="0"/>
        <w:adjustRightInd w:val="0"/>
        <w:ind w:firstLine="567"/>
        <w:contextualSpacing/>
        <w:jc w:val="both"/>
        <w:rPr>
          <w:color w:val="000000"/>
        </w:rPr>
      </w:pPr>
      <w:r>
        <w:rPr>
          <w:color w:val="000000"/>
        </w:rPr>
        <w:t>В случае, если нескольким заявкам на участие в запросе предложений в электронной форме присваивается одинаковая окончательная оценка, меньший порядковый номер присваивается заявке, которая поступила ранее других с такими же окончательными оценками.</w:t>
      </w:r>
    </w:p>
    <w:p w:rsidR="001270B3" w:rsidRDefault="001270B3" w:rsidP="001270B3">
      <w:pPr>
        <w:jc w:val="center"/>
        <w:rPr>
          <w:lang w:eastAsia="en-US"/>
        </w:rPr>
      </w:pPr>
    </w:p>
    <w:p w:rsidR="001270B3" w:rsidRDefault="001270B3" w:rsidP="001270B3">
      <w:pPr>
        <w:jc w:val="center"/>
      </w:pPr>
    </w:p>
    <w:p w:rsidR="0032417B" w:rsidRDefault="0032417B"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711C37" w:rsidRDefault="00711C37" w:rsidP="003F27A8">
      <w:pPr>
        <w:jc w:val="right"/>
        <w:rPr>
          <w:b/>
          <w:bCs/>
          <w:sz w:val="18"/>
          <w:szCs w:val="18"/>
        </w:rPr>
      </w:pPr>
    </w:p>
    <w:p w:rsidR="003F27A8" w:rsidRDefault="003F27A8" w:rsidP="003F27A8">
      <w:pPr>
        <w:jc w:val="right"/>
        <w:rPr>
          <w:b/>
          <w:bCs/>
          <w:sz w:val="18"/>
          <w:szCs w:val="18"/>
        </w:rPr>
      </w:pPr>
      <w:r>
        <w:rPr>
          <w:b/>
          <w:bCs/>
          <w:sz w:val="18"/>
          <w:szCs w:val="18"/>
        </w:rPr>
        <w:lastRenderedPageBreak/>
        <w:t xml:space="preserve">Форма 2. Справка о подтверждении опыта работ, </w:t>
      </w:r>
    </w:p>
    <w:p w:rsidR="003F27A8" w:rsidRDefault="003F27A8" w:rsidP="003F27A8">
      <w:pPr>
        <w:jc w:val="right"/>
        <w:rPr>
          <w:b/>
          <w:bCs/>
          <w:sz w:val="18"/>
          <w:szCs w:val="18"/>
        </w:rPr>
      </w:pPr>
      <w:r>
        <w:rPr>
          <w:b/>
          <w:bCs/>
          <w:sz w:val="18"/>
          <w:szCs w:val="18"/>
        </w:rPr>
        <w:t>связанного с предметом договора</w:t>
      </w:r>
    </w:p>
    <w:p w:rsidR="003F27A8" w:rsidRDefault="003F27A8" w:rsidP="003F27A8">
      <w:pPr>
        <w:jc w:val="center"/>
      </w:pPr>
    </w:p>
    <w:p w:rsidR="003F27A8" w:rsidRDefault="003F27A8" w:rsidP="003F27A8">
      <w:pPr>
        <w:jc w:val="center"/>
        <w:rPr>
          <w:b/>
          <w:bCs/>
        </w:rPr>
      </w:pPr>
      <w:r>
        <w:rPr>
          <w:b/>
          <w:bCs/>
        </w:rPr>
        <w:t>Справка о подтверждении опыта работ, связанного с предметом договора</w:t>
      </w:r>
    </w:p>
    <w:p w:rsidR="003F27A8" w:rsidRDefault="003F27A8" w:rsidP="003F27A8">
      <w:pPr>
        <w:jc w:val="center"/>
      </w:pPr>
    </w:p>
    <w:p w:rsidR="003F27A8" w:rsidRDefault="003F27A8" w:rsidP="003F27A8">
      <w:pPr>
        <w:jc w:val="center"/>
      </w:pPr>
      <w:r>
        <w:rPr>
          <w:b/>
          <w:bCs/>
        </w:rPr>
        <w:t>(участнику закупки необходимо</w:t>
      </w:r>
      <w:r>
        <w:t xml:space="preserve"> </w:t>
      </w:r>
      <w:r>
        <w:rPr>
          <w:b/>
          <w:bCs/>
        </w:rPr>
        <w:t xml:space="preserve">указать наименование предмета запроса предложений </w:t>
      </w:r>
      <w:proofErr w:type="gramStart"/>
      <w:r>
        <w:rPr>
          <w:b/>
          <w:bCs/>
        </w:rPr>
        <w:t>в электронной форме в соответствии с извещением о проведении запроса предложений в электронной форме</w:t>
      </w:r>
      <w:proofErr w:type="gramEnd"/>
      <w:r>
        <w:t>)</w:t>
      </w:r>
    </w:p>
    <w:tbl>
      <w:tblPr>
        <w:tblpPr w:leftFromText="180" w:rightFromText="180" w:vertAnchor="text" w:horzAnchor="margin" w:tblpXSpec="center" w:tblpY="324"/>
        <w:tblW w:w="7650" w:type="dxa"/>
        <w:tblLayout w:type="fixed"/>
        <w:tblLook w:val="04A0"/>
      </w:tblPr>
      <w:tblGrid>
        <w:gridCol w:w="540"/>
        <w:gridCol w:w="1586"/>
        <w:gridCol w:w="2549"/>
        <w:gridCol w:w="2975"/>
      </w:tblGrid>
      <w:tr w:rsidR="003F27A8" w:rsidTr="003F27A8">
        <w:tc>
          <w:tcPr>
            <w:tcW w:w="540" w:type="dxa"/>
            <w:tcBorders>
              <w:top w:val="single" w:sz="4" w:space="0" w:color="000000"/>
              <w:left w:val="single" w:sz="4" w:space="0" w:color="000000"/>
              <w:bottom w:val="single" w:sz="4" w:space="0" w:color="000000"/>
              <w:right w:val="nil"/>
            </w:tcBorders>
            <w:shd w:val="clear" w:color="auto" w:fill="F2F2F2"/>
            <w:vAlign w:val="center"/>
            <w:hideMark/>
          </w:tcPr>
          <w:p w:rsidR="003F27A8" w:rsidRDefault="003F27A8">
            <w:pPr>
              <w:spacing w:after="200" w:line="276" w:lineRule="auto"/>
              <w:jc w:val="center"/>
              <w:rPr>
                <w:lang w:eastAsia="en-US"/>
              </w:rPr>
            </w:pPr>
            <w:proofErr w:type="spellStart"/>
            <w:proofErr w:type="gramStart"/>
            <w:r>
              <w:t>п</w:t>
            </w:r>
            <w:proofErr w:type="spellEnd"/>
            <w:proofErr w:type="gramEnd"/>
            <w:r>
              <w:t>/</w:t>
            </w:r>
            <w:proofErr w:type="spellStart"/>
            <w:r>
              <w:t>п</w:t>
            </w:r>
            <w:proofErr w:type="spellEnd"/>
          </w:p>
        </w:tc>
        <w:tc>
          <w:tcPr>
            <w:tcW w:w="1587" w:type="dxa"/>
            <w:tcBorders>
              <w:top w:val="single" w:sz="4" w:space="0" w:color="000000"/>
              <w:left w:val="single" w:sz="4" w:space="0" w:color="000000"/>
              <w:bottom w:val="single" w:sz="4" w:space="0" w:color="000000"/>
              <w:right w:val="nil"/>
            </w:tcBorders>
            <w:shd w:val="clear" w:color="auto" w:fill="F2F2F2"/>
            <w:vAlign w:val="center"/>
            <w:hideMark/>
          </w:tcPr>
          <w:p w:rsidR="003F27A8" w:rsidRDefault="003F27A8">
            <w:pPr>
              <w:spacing w:after="200" w:line="276" w:lineRule="auto"/>
              <w:jc w:val="center"/>
              <w:rPr>
                <w:lang w:eastAsia="en-US"/>
              </w:rPr>
            </w:pPr>
            <w:r>
              <w:t>Номер и дата контракта, договора</w:t>
            </w:r>
          </w:p>
        </w:tc>
        <w:tc>
          <w:tcPr>
            <w:tcW w:w="2551" w:type="dxa"/>
            <w:tcBorders>
              <w:top w:val="single" w:sz="4" w:space="0" w:color="000000"/>
              <w:left w:val="single" w:sz="4" w:space="0" w:color="000000"/>
              <w:bottom w:val="single" w:sz="4" w:space="0" w:color="000000"/>
              <w:right w:val="nil"/>
            </w:tcBorders>
            <w:shd w:val="clear" w:color="auto" w:fill="F2F2F2"/>
            <w:vAlign w:val="center"/>
            <w:hideMark/>
          </w:tcPr>
          <w:p w:rsidR="003F27A8" w:rsidRDefault="003F27A8">
            <w:pPr>
              <w:spacing w:after="200" w:line="276" w:lineRule="auto"/>
              <w:jc w:val="center"/>
              <w:rPr>
                <w:lang w:eastAsia="en-US"/>
              </w:rPr>
            </w:pPr>
            <w:r>
              <w:t>Контрагент (с кем заключён контракт, договор)</w:t>
            </w:r>
          </w:p>
        </w:tc>
        <w:tc>
          <w:tcPr>
            <w:tcW w:w="2977" w:type="dxa"/>
            <w:tcBorders>
              <w:top w:val="single" w:sz="4" w:space="0" w:color="000000"/>
              <w:left w:val="single" w:sz="4" w:space="0" w:color="000000"/>
              <w:bottom w:val="single" w:sz="4" w:space="0" w:color="000000"/>
              <w:right w:val="nil"/>
            </w:tcBorders>
            <w:shd w:val="clear" w:color="auto" w:fill="F2F2F2"/>
            <w:vAlign w:val="center"/>
            <w:hideMark/>
          </w:tcPr>
          <w:p w:rsidR="003F27A8" w:rsidRDefault="003F27A8">
            <w:pPr>
              <w:spacing w:after="200" w:line="276" w:lineRule="auto"/>
              <w:jc w:val="center"/>
              <w:rPr>
                <w:lang w:eastAsia="en-US"/>
              </w:rPr>
            </w:pPr>
            <w:r>
              <w:t>Предмет контракта, договора</w:t>
            </w:r>
          </w:p>
        </w:tc>
      </w:tr>
      <w:tr w:rsidR="003F27A8" w:rsidTr="003F27A8">
        <w:tc>
          <w:tcPr>
            <w:tcW w:w="540"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1587"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2551"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2977"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r>
      <w:tr w:rsidR="003F27A8" w:rsidTr="003F27A8">
        <w:tc>
          <w:tcPr>
            <w:tcW w:w="540"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1587"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2551"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2977"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r>
      <w:tr w:rsidR="003F27A8" w:rsidTr="003F27A8">
        <w:tc>
          <w:tcPr>
            <w:tcW w:w="540"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1587"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2551"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2977"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r>
      <w:tr w:rsidR="003F27A8" w:rsidTr="003F27A8">
        <w:tc>
          <w:tcPr>
            <w:tcW w:w="540"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1587"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2551"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c>
          <w:tcPr>
            <w:tcW w:w="2977" w:type="dxa"/>
            <w:tcBorders>
              <w:top w:val="single" w:sz="4" w:space="0" w:color="000000"/>
              <w:left w:val="single" w:sz="4" w:space="0" w:color="000000"/>
              <w:bottom w:val="single" w:sz="4" w:space="0" w:color="000000"/>
              <w:right w:val="nil"/>
            </w:tcBorders>
            <w:vAlign w:val="center"/>
          </w:tcPr>
          <w:p w:rsidR="003F27A8" w:rsidRDefault="003F27A8">
            <w:pPr>
              <w:spacing w:after="200" w:line="276" w:lineRule="auto"/>
              <w:jc w:val="center"/>
              <w:rPr>
                <w:lang w:eastAsia="en-US"/>
              </w:rPr>
            </w:pPr>
          </w:p>
        </w:tc>
      </w:tr>
    </w:tbl>
    <w:p w:rsidR="003F27A8" w:rsidRDefault="003F27A8" w:rsidP="003F27A8">
      <w:pPr>
        <w:jc w:val="center"/>
        <w:rPr>
          <w:lang w:eastAsia="en-US"/>
        </w:rPr>
      </w:pPr>
    </w:p>
    <w:p w:rsidR="003F27A8" w:rsidRDefault="003F27A8" w:rsidP="003F27A8">
      <w:pPr>
        <w:jc w:val="center"/>
      </w:pPr>
    </w:p>
    <w:p w:rsidR="003F27A8" w:rsidRDefault="003F27A8" w:rsidP="003F27A8">
      <w:pPr>
        <w:jc w:val="center"/>
      </w:pPr>
      <w:r>
        <w:t>Приложением к данной справке прикладываем копии контрактов, договоров, отраженных в данной справке, и актов выполненных работ, подписанных обеими сторонами, подтверждающих факт исполнения договора.</w:t>
      </w:r>
    </w:p>
    <w:p w:rsidR="003F27A8" w:rsidRDefault="003F27A8" w:rsidP="003F27A8">
      <w:pPr>
        <w:jc w:val="center"/>
      </w:pPr>
    </w:p>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3F27A8" w:rsidRDefault="003F27A8" w:rsidP="00471896"/>
    <w:p w:rsidR="00711C37" w:rsidRDefault="00711C37" w:rsidP="00711C37">
      <w:pPr>
        <w:jc w:val="right"/>
        <w:rPr>
          <w:b/>
          <w:bCs/>
          <w:sz w:val="18"/>
          <w:szCs w:val="18"/>
        </w:rPr>
      </w:pPr>
      <w:r>
        <w:rPr>
          <w:b/>
          <w:bCs/>
          <w:sz w:val="18"/>
          <w:szCs w:val="18"/>
        </w:rPr>
        <w:lastRenderedPageBreak/>
        <w:t xml:space="preserve">Форма 3. Справка о подтверждении </w:t>
      </w:r>
    </w:p>
    <w:p w:rsidR="00711C37" w:rsidRDefault="00711C37" w:rsidP="00711C37">
      <w:pPr>
        <w:jc w:val="right"/>
        <w:rPr>
          <w:b/>
          <w:bCs/>
          <w:sz w:val="18"/>
          <w:szCs w:val="18"/>
        </w:rPr>
      </w:pPr>
      <w:r>
        <w:rPr>
          <w:b/>
          <w:bCs/>
          <w:sz w:val="18"/>
          <w:szCs w:val="18"/>
        </w:rPr>
        <w:t>деловой репутации</w:t>
      </w:r>
    </w:p>
    <w:p w:rsidR="00711C37" w:rsidRDefault="00711C37" w:rsidP="00711C37">
      <w:pPr>
        <w:jc w:val="center"/>
        <w:rPr>
          <w:sz w:val="18"/>
          <w:szCs w:val="18"/>
        </w:rPr>
      </w:pPr>
    </w:p>
    <w:p w:rsidR="00711C37" w:rsidRDefault="00711C37" w:rsidP="00711C37">
      <w:pPr>
        <w:jc w:val="center"/>
        <w:rPr>
          <w:b/>
          <w:bCs/>
        </w:rPr>
      </w:pPr>
      <w:r>
        <w:rPr>
          <w:b/>
          <w:bCs/>
        </w:rPr>
        <w:t>Справка о подтверждении деловой репутации</w:t>
      </w:r>
    </w:p>
    <w:p w:rsidR="00711C37" w:rsidRDefault="00711C37" w:rsidP="00711C37">
      <w:pPr>
        <w:jc w:val="center"/>
      </w:pPr>
    </w:p>
    <w:p w:rsidR="00711C37" w:rsidRDefault="00711C37" w:rsidP="00711C37">
      <w:pPr>
        <w:jc w:val="center"/>
      </w:pPr>
      <w:r>
        <w:rPr>
          <w:b/>
          <w:bCs/>
        </w:rPr>
        <w:t>(участнику закупки необходимо</w:t>
      </w:r>
      <w:r>
        <w:t xml:space="preserve"> </w:t>
      </w:r>
      <w:r>
        <w:rPr>
          <w:b/>
          <w:bCs/>
        </w:rPr>
        <w:t xml:space="preserve">указать наименование предмета запроса предложений </w:t>
      </w:r>
      <w:proofErr w:type="gramStart"/>
      <w:r>
        <w:rPr>
          <w:b/>
          <w:bCs/>
        </w:rPr>
        <w:t>в электронной форме в соответствии с извещением о проведении запроса предложений в электронной форме</w:t>
      </w:r>
      <w:proofErr w:type="gramEnd"/>
      <w:r>
        <w:t>)</w:t>
      </w:r>
    </w:p>
    <w:tbl>
      <w:tblPr>
        <w:tblpPr w:leftFromText="180" w:rightFromText="180" w:vertAnchor="text" w:horzAnchor="margin" w:tblpXSpec="center" w:tblpY="326"/>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9810"/>
      </w:tblGrid>
      <w:tr w:rsidR="00711C37" w:rsidTr="00711C37">
        <w:tc>
          <w:tcPr>
            <w:tcW w:w="54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11C37" w:rsidRDefault="00711C37">
            <w:pPr>
              <w:spacing w:after="200" w:line="276" w:lineRule="auto"/>
              <w:jc w:val="center"/>
              <w:rPr>
                <w:lang w:eastAsia="en-US"/>
              </w:rPr>
            </w:pPr>
            <w:proofErr w:type="spellStart"/>
            <w:proofErr w:type="gramStart"/>
            <w:r>
              <w:t>п</w:t>
            </w:r>
            <w:proofErr w:type="spellEnd"/>
            <w:proofErr w:type="gramEnd"/>
            <w:r>
              <w:t>/</w:t>
            </w:r>
            <w:proofErr w:type="spellStart"/>
            <w:r>
              <w:t>п</w:t>
            </w:r>
            <w:proofErr w:type="spellEnd"/>
          </w:p>
        </w:tc>
        <w:tc>
          <w:tcPr>
            <w:tcW w:w="9808"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711C37" w:rsidRDefault="00711C37">
            <w:pPr>
              <w:spacing w:after="200" w:line="276" w:lineRule="auto"/>
              <w:jc w:val="center"/>
              <w:rPr>
                <w:lang w:eastAsia="en-US"/>
              </w:rPr>
            </w:pPr>
            <w:r>
              <w:t>Наименование и реквизиты (дата, номер при наличии) подтверждающего документа</w:t>
            </w:r>
          </w:p>
        </w:tc>
      </w:tr>
      <w:tr w:rsidR="00711C37" w:rsidTr="00711C37">
        <w:tc>
          <w:tcPr>
            <w:tcW w:w="540"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c>
          <w:tcPr>
            <w:tcW w:w="9808"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r>
      <w:tr w:rsidR="00711C37" w:rsidTr="00711C37">
        <w:tc>
          <w:tcPr>
            <w:tcW w:w="540"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c>
          <w:tcPr>
            <w:tcW w:w="9808"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r>
      <w:tr w:rsidR="00711C37" w:rsidTr="00711C37">
        <w:tc>
          <w:tcPr>
            <w:tcW w:w="540"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c>
          <w:tcPr>
            <w:tcW w:w="9808"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r>
      <w:tr w:rsidR="00711C37" w:rsidTr="00711C37">
        <w:tc>
          <w:tcPr>
            <w:tcW w:w="540"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c>
          <w:tcPr>
            <w:tcW w:w="9808"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r>
      <w:tr w:rsidR="00711C37" w:rsidTr="00711C37">
        <w:tc>
          <w:tcPr>
            <w:tcW w:w="540"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c>
          <w:tcPr>
            <w:tcW w:w="9808"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r>
      <w:tr w:rsidR="00711C37" w:rsidTr="00711C37">
        <w:tc>
          <w:tcPr>
            <w:tcW w:w="540"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c>
          <w:tcPr>
            <w:tcW w:w="9808"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r>
      <w:tr w:rsidR="00711C37" w:rsidTr="00711C37">
        <w:tc>
          <w:tcPr>
            <w:tcW w:w="540"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c>
          <w:tcPr>
            <w:tcW w:w="9808"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r>
      <w:tr w:rsidR="00711C37" w:rsidTr="00711C37">
        <w:tc>
          <w:tcPr>
            <w:tcW w:w="540"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c>
          <w:tcPr>
            <w:tcW w:w="9808" w:type="dxa"/>
            <w:tcBorders>
              <w:top w:val="single" w:sz="4" w:space="0" w:color="auto"/>
              <w:left w:val="single" w:sz="4" w:space="0" w:color="auto"/>
              <w:bottom w:val="single" w:sz="4" w:space="0" w:color="auto"/>
              <w:right w:val="single" w:sz="4" w:space="0" w:color="auto"/>
            </w:tcBorders>
            <w:vAlign w:val="center"/>
          </w:tcPr>
          <w:p w:rsidR="00711C37" w:rsidRDefault="00711C37">
            <w:pPr>
              <w:spacing w:after="200" w:line="276" w:lineRule="auto"/>
              <w:jc w:val="center"/>
              <w:rPr>
                <w:lang w:eastAsia="en-US"/>
              </w:rPr>
            </w:pPr>
          </w:p>
        </w:tc>
      </w:tr>
    </w:tbl>
    <w:p w:rsidR="00711C37" w:rsidRDefault="00711C37" w:rsidP="00711C37">
      <w:pPr>
        <w:jc w:val="center"/>
        <w:rPr>
          <w:lang w:eastAsia="en-US"/>
        </w:rPr>
      </w:pPr>
    </w:p>
    <w:p w:rsidR="00711C37" w:rsidRDefault="00711C37" w:rsidP="00711C37">
      <w:pPr>
        <w:jc w:val="center"/>
      </w:pPr>
    </w:p>
    <w:p w:rsidR="00711C37" w:rsidRDefault="00711C37" w:rsidP="00711C37">
      <w:pPr>
        <w:jc w:val="center"/>
      </w:pPr>
      <w:r>
        <w:t>Приложением к данной справке прикладываем копии подтверждающих документов, отраженных в данной справке.</w:t>
      </w:r>
    </w:p>
    <w:p w:rsidR="00711C37" w:rsidRDefault="00711C37" w:rsidP="00711C37">
      <w:pPr>
        <w:jc w:val="center"/>
      </w:pPr>
    </w:p>
    <w:p w:rsidR="003F27A8" w:rsidRDefault="003F27A8" w:rsidP="00471896"/>
    <w:sectPr w:rsidR="003F27A8" w:rsidSect="0032417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55D7D"/>
    <w:multiLevelType w:val="hybridMultilevel"/>
    <w:tmpl w:val="C31A7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11577F1"/>
    <w:multiLevelType w:val="hybridMultilevel"/>
    <w:tmpl w:val="D26AEB78"/>
    <w:lvl w:ilvl="0" w:tplc="5C3248E4">
      <w:start w:val="1"/>
      <w:numFmt w:val="decimal"/>
      <w:lvlText w:val="%1)"/>
      <w:lvlJc w:val="left"/>
      <w:pPr>
        <w:ind w:left="754"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71896"/>
    <w:rsid w:val="00121715"/>
    <w:rsid w:val="001270B3"/>
    <w:rsid w:val="001355AA"/>
    <w:rsid w:val="002A264C"/>
    <w:rsid w:val="0032417B"/>
    <w:rsid w:val="003F27A8"/>
    <w:rsid w:val="00471896"/>
    <w:rsid w:val="0053376A"/>
    <w:rsid w:val="00595950"/>
    <w:rsid w:val="00711C37"/>
    <w:rsid w:val="00827759"/>
    <w:rsid w:val="00A50788"/>
    <w:rsid w:val="00A60E37"/>
    <w:rsid w:val="00CE02AE"/>
    <w:rsid w:val="00D65F63"/>
    <w:rsid w:val="00E02AF1"/>
    <w:rsid w:val="00E31EE2"/>
    <w:rsid w:val="00E32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9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71896"/>
    <w:rPr>
      <w:rFonts w:ascii="Times New Roman" w:hAnsi="Times New Roman" w:cs="Times New Roman" w:hint="default"/>
      <w:color w:val="0000FF"/>
      <w:u w:val="single"/>
    </w:rPr>
  </w:style>
  <w:style w:type="paragraph" w:styleId="a4">
    <w:name w:val="List Paragraph"/>
    <w:aliases w:val="SL_Абзац списка,1,UL,Абзац маркированнный,Bullet List,FooterText,numbered,Paragraphe de liste1,lp1,Table-Normal,RSHB_Table-Normal,Предусловия,1. Абзац списка,Нумерованный список_ФТ,Булет 1,Bullet Number,Нумерованый список,lp11,Мой стиль!"/>
    <w:basedOn w:val="a"/>
    <w:link w:val="a5"/>
    <w:uiPriority w:val="34"/>
    <w:qFormat/>
    <w:rsid w:val="00471896"/>
    <w:pPr>
      <w:ind w:left="720"/>
      <w:contextualSpacing/>
    </w:pPr>
  </w:style>
  <w:style w:type="paragraph" w:styleId="a6">
    <w:name w:val="Normal (Web)"/>
    <w:basedOn w:val="a"/>
    <w:unhideWhenUsed/>
    <w:rsid w:val="00E31EE2"/>
    <w:pPr>
      <w:spacing w:before="100" w:beforeAutospacing="1" w:after="100" w:afterAutospacing="1"/>
    </w:pPr>
  </w:style>
  <w:style w:type="paragraph" w:styleId="2">
    <w:name w:val="List 2"/>
    <w:basedOn w:val="a"/>
    <w:uiPriority w:val="99"/>
    <w:unhideWhenUsed/>
    <w:rsid w:val="001270B3"/>
    <w:pPr>
      <w:snapToGrid w:val="0"/>
      <w:spacing w:line="360" w:lineRule="auto"/>
      <w:ind w:left="566" w:hanging="283"/>
      <w:contextualSpacing/>
      <w:jc w:val="both"/>
    </w:pPr>
    <w:rPr>
      <w:b/>
      <w:sz w:val="28"/>
      <w:szCs w:val="20"/>
    </w:rPr>
  </w:style>
  <w:style w:type="character" w:customStyle="1" w:styleId="a5">
    <w:name w:val="Абзац списка Знак"/>
    <w:aliases w:val="SL_Абзац списка Знак,1 Знак,UL Знак,Абзац маркированнный Знак,Bullet List Знак,FooterText Знак,numbered Знак,Paragraphe de liste1 Знак,lp1 Знак,Table-Normal Знак,RSHB_Table-Normal Знак,Предусловия Знак,1. Абзац списка Знак,Булет 1 Знак"/>
    <w:link w:val="a4"/>
    <w:uiPriority w:val="34"/>
    <w:locked/>
    <w:rsid w:val="001270B3"/>
    <w:rPr>
      <w:rFonts w:ascii="Times New Roman" w:eastAsia="Times New Roman" w:hAnsi="Times New Roman" w:cs="Times New Roman"/>
      <w:sz w:val="24"/>
      <w:szCs w:val="24"/>
      <w:lang w:eastAsia="ru-RU"/>
    </w:rPr>
  </w:style>
  <w:style w:type="paragraph" w:customStyle="1" w:styleId="1">
    <w:name w:val="Абзац списка1"/>
    <w:basedOn w:val="a"/>
    <w:qFormat/>
    <w:rsid w:val="001270B3"/>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587274992">
      <w:bodyDiv w:val="1"/>
      <w:marLeft w:val="0"/>
      <w:marRight w:val="0"/>
      <w:marTop w:val="0"/>
      <w:marBottom w:val="0"/>
      <w:divBdr>
        <w:top w:val="none" w:sz="0" w:space="0" w:color="auto"/>
        <w:left w:val="none" w:sz="0" w:space="0" w:color="auto"/>
        <w:bottom w:val="none" w:sz="0" w:space="0" w:color="auto"/>
        <w:right w:val="none" w:sz="0" w:space="0" w:color="auto"/>
      </w:divBdr>
    </w:div>
    <w:div w:id="1213038342">
      <w:bodyDiv w:val="1"/>
      <w:marLeft w:val="0"/>
      <w:marRight w:val="0"/>
      <w:marTop w:val="0"/>
      <w:marBottom w:val="0"/>
      <w:divBdr>
        <w:top w:val="none" w:sz="0" w:space="0" w:color="auto"/>
        <w:left w:val="none" w:sz="0" w:space="0" w:color="auto"/>
        <w:bottom w:val="none" w:sz="0" w:space="0" w:color="auto"/>
        <w:right w:val="none" w:sz="0" w:space="0" w:color="auto"/>
      </w:divBdr>
    </w:div>
    <w:div w:id="1626543067">
      <w:bodyDiv w:val="1"/>
      <w:marLeft w:val="0"/>
      <w:marRight w:val="0"/>
      <w:marTop w:val="0"/>
      <w:marBottom w:val="0"/>
      <w:divBdr>
        <w:top w:val="none" w:sz="0" w:space="0" w:color="auto"/>
        <w:left w:val="none" w:sz="0" w:space="0" w:color="auto"/>
        <w:bottom w:val="none" w:sz="0" w:space="0" w:color="auto"/>
        <w:right w:val="none" w:sz="0" w:space="0" w:color="auto"/>
      </w:divBdr>
    </w:div>
    <w:div w:id="1737783441">
      <w:bodyDiv w:val="1"/>
      <w:marLeft w:val="0"/>
      <w:marRight w:val="0"/>
      <w:marTop w:val="0"/>
      <w:marBottom w:val="0"/>
      <w:divBdr>
        <w:top w:val="none" w:sz="0" w:space="0" w:color="auto"/>
        <w:left w:val="none" w:sz="0" w:space="0" w:color="auto"/>
        <w:bottom w:val="none" w:sz="0" w:space="0" w:color="auto"/>
        <w:right w:val="none" w:sz="0" w:space="0" w:color="auto"/>
      </w:divBdr>
    </w:div>
    <w:div w:id="18443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951</Words>
  <Characters>5423</Characters>
  <Application>Microsoft Office Word</Application>
  <DocSecurity>0</DocSecurity>
  <Lines>45</Lines>
  <Paragraphs>12</Paragraphs>
  <ScaleCrop>false</ScaleCrop>
  <Company/>
  <LinksUpToDate>false</LinksUpToDate>
  <CharactersWithSpaces>6362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2024-02-26T04:32:00Z</cp:lastPrinted>
  <dcterms:created xsi:type="dcterms:W3CDTF">2024-02-26T03:49:00Z</dcterms:created>
  <dcterms:modified xsi:type="dcterms:W3CDTF">2024-05-08T10:33:00Z</dcterms:modified>
</cp:coreProperties>
</file>