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  <w:spacing w:before="0" w:after="0" w:line="240" w:lineRule="auto"/>
      </w:pPr>
      <w:r>
        <w:rPr>
          <w:rFonts w:ascii="tahoma" w:hAnsi="tahoma" w:cs="tahoma"/>
        </w:rPr>
        <w:t xml:space="preserve">ОБОСНОВАНИЕ НАЧАЛЬНОЙ (МАКСИМАЛЬНОЙ) ЦЕНЫ КОНТРАКТА </w:t>
      </w:r>
    </w:p>
    <w:p>
      <w:pPr>
        <w:jc w:val="both"/>
        <w:spacing w:before="0" w:after="0" w:line="240" w:lineRule="auto"/>
      </w:pPr>
      <w:r>
        <w:rPr>
          <w:rFonts w:ascii="tahoma" w:hAnsi="tahoma" w:cs="tahoma"/>
        </w:rPr>
        <w:t xml:space="preserve">Объект закупки: Труба ПЭ 100 SDR 11 ф110 </w:t>
      </w:r>
    </w:p>
    <w:p>
      <w:pPr>
        <w:jc w:val="both"/>
        <w:spacing w:before="0" w:after="0" w:line="240" w:lineRule="auto"/>
      </w:pPr>
      <w:r>
        <w:rPr>
          <w:rFonts w:ascii="tahoma" w:hAnsi="tahoma" w:cs="tahoma"/>
        </w:rPr>
        <w:t xml:space="preserve">Метод обоснования цены: Сопоставление рыночных цен (анализ рынка) </w:t>
      </w:r>
    </w:p>
    <w:p>
      <w:pPr>
        <w:jc w:val="both"/>
        <w:spacing w:before="0" w:after="0" w:line="240" w:lineRule="auto"/>
      </w:pPr>
      <w:r>
        <w:rPr>
          <w:rFonts w:ascii="tahoma" w:hAnsi="tahoma" w:cs="tahoma"/>
        </w:rPr>
        <w:t xml:space="preserve">Способ определения цены (источники): Контракты исполненные из реестра ЕИС </w:t>
      </w:r>
    </w:p>
    <w:p>
      <w:pPr>
        <w:jc w:val="both"/>
        <w:spacing w:before="0" w:after="0" w:line="240" w:lineRule="auto"/>
      </w:pPr>
      <w:r>
        <w:rPr>
          <w:rFonts w:ascii="tahoma" w:hAnsi="tahoma" w:cs="tahoma"/>
        </w:rPr>
        <w:t xml:space="preserve">Количество источников, использованных для расчета цены: 3 </w:t>
      </w:r>
    </w:p>
    <w:p>
      <w:pPr>
        <w:jc w:val="both"/>
        <w:spacing w:before="0" w:after="0" w:line="240" w:lineRule="auto"/>
      </w:pPr>
      <w:r>
        <w:rPr>
          <w:rFonts w:ascii="tahoma" w:hAnsi="tahoma" w:cs="tahoma"/>
        </w:rPr>
        <w:t xml:space="preserve">НМЦК методом сопоставимых рыночных цен (анализа рынка) определена по формуле согласно п.3.21 "Методических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исполнителем)", утвержденных Приказом Минэкономразвития России от 02.10.2013 N 567. </w:t>
      </w:r>
    </w:p>
    <w:p>
      <w:pPr>
        <w:spacing w:before="0" w:after="0" w:line="240" w:lineRule="auto"/>
      </w:pPr>
      <w:r>
        <w:rPr>
          <w:rFonts w:ascii="tahoma" w:hAnsi="tahoma" w:cs="tahoma"/>
        </w:rPr>
        <w:t xml:space="preserve">При расчете стоимости позиции использовалась МИНИМАЛЬНАЯ ЦЕНА по всем источникам, из которых были получены цены. </w:t>
      </w:r>
    </w:p>
    <w:p>
      <w:pPr>
        <w:spacing w:before="0" w:after="0" w:line="240" w:lineRule="auto"/>
      </w:pPr>
      <w:r>
        <w:rPr>
          <w:rFonts w:ascii="tahoma" w:hAnsi="tahoma" w:cs="tahoma"/>
        </w:rPr>
        <w:t xml:space="preserve">Полученные данные сведены в таблицу: </w:t>
      </w:r>
    </w:p>
    <w:tbl>
      <w:tblPr>
        <w:tblStyle w:val="4bb2763072407662deee1306b0d04716"/>
        <w:tblW w:w="4995" w:type="pct"/>
      </w:tblPr>
      <w:tr>
        <w:trPr>
          <w:cantSplit/>
        </w:trPr>
        <w:tc>
          <w:tcPr>
            <w:tcW w:w="800" w:type="dxa"/>
          </w:tcPr>
          <w:p>
            <w:pPr>
              <w:jc w:val="left"/>
              <w:spacing w:before="0" w:after="0" w:line="240" w:lineRule="auto"/>
            </w:pPr>
            <w:r>
              <w:rPr>
                <w:rFonts w:ascii="tahoma" w:hAnsi="tahoma" w:cs="tahoma"/>
              </w:rPr>
              <w:t xml:space="preserve">Наименование товара, работ, услуг (позиция) </w:t>
            </w:r>
          </w:p>
        </w:tc>
        <w:tc>
          <w:tcPr>
            <w:tcW w:w="800" w:type="dxa"/>
          </w:tcPr>
          <w:p>
            <w:pPr>
              <w:jc w:val="left"/>
              <w:spacing w:before="0" w:after="0" w:line="240" w:lineRule="auto"/>
            </w:pPr>
            <w:r>
              <w:rPr>
                <w:rFonts w:ascii="tahoma" w:hAnsi="tahoma" w:cs="tahoma"/>
              </w:rPr>
              <w:t xml:space="preserve">Код по ОКПД </w:t>
            </w:r>
          </w:p>
        </w:tc>
        <w:tc>
          <w:tcPr>
            <w:tcW w:w="800" w:type="dxa"/>
          </w:tcPr>
          <w:p>
            <w:pPr>
              <w:jc w:val="left"/>
              <w:spacing w:before="0" w:after="0" w:line="240" w:lineRule="auto"/>
            </w:pPr>
            <w:r>
              <w:rPr>
                <w:rFonts w:ascii="tahoma" w:hAnsi="tahoma" w:cs="tahoma"/>
              </w:rPr>
              <w:t xml:space="preserve">Ед. изм. </w:t>
            </w:r>
          </w:p>
        </w:tc>
        <w:tc>
          <w:tcPr>
            <w:tcW w:w="800" w:type="dxa"/>
          </w:tcPr>
          <w:p>
            <w:pPr>
              <w:jc w:val="right"/>
              <w:spacing w:before="0" w:after="0" w:line="240" w:lineRule="auto"/>
            </w:pPr>
            <w:r>
              <w:rPr>
                <w:rFonts w:ascii="tahoma" w:hAnsi="tahoma" w:cs="tahoma"/>
              </w:rPr>
              <w:t xml:space="preserve">Источник №1 </w:t>
            </w:r>
          </w:p>
        </w:tc>
        <w:tc>
          <w:tcPr>
            <w:tcW w:w="800" w:type="dxa"/>
          </w:tcPr>
          <w:p>
            <w:pPr>
              <w:jc w:val="right"/>
              <w:spacing w:before="0" w:after="0" w:line="240" w:lineRule="auto"/>
            </w:pPr>
            <w:r>
              <w:rPr>
                <w:rFonts w:ascii="tahoma" w:hAnsi="tahoma" w:cs="tahoma"/>
              </w:rPr>
              <w:t xml:space="preserve">Источник №2 </w:t>
            </w:r>
          </w:p>
        </w:tc>
        <w:tc>
          <w:tcPr>
            <w:tcW w:w="800" w:type="dxa"/>
          </w:tcPr>
          <w:p>
            <w:pPr>
              <w:jc w:val="right"/>
              <w:spacing w:before="0" w:after="0" w:line="240" w:lineRule="auto"/>
            </w:pPr>
            <w:r>
              <w:rPr>
                <w:rFonts w:ascii="tahoma" w:hAnsi="tahoma" w:cs="tahoma"/>
              </w:rPr>
              <w:t xml:space="preserve">Источник №3 </w:t>
            </w:r>
          </w:p>
        </w:tc>
        <w:tc>
          <w:tcPr>
            <w:tcW w:w="800" w:type="dxa"/>
          </w:tcPr>
          <w:p>
            <w:pPr>
              <w:jc w:val="right"/>
              <w:spacing w:before="0" w:after="0" w:line="240" w:lineRule="auto"/>
            </w:pPr>
            <w:r>
              <w:rPr>
                <w:rFonts w:ascii="tahoma" w:hAnsi="tahoma" w:cs="tahoma"/>
              </w:rPr>
              <w:t xml:space="preserve">Средняя цена </w:t>
            </w:r>
          </w:p>
        </w:tc>
        <w:tc>
          <w:tcPr>
            <w:tcW w:w="800" w:type="dxa"/>
          </w:tcPr>
          <w:p>
            <w:pPr>
              <w:jc w:val="right"/>
              <w:spacing w:before="0" w:after="0" w:line="240" w:lineRule="auto"/>
            </w:pPr>
            <w:r>
              <w:rPr>
                <w:rFonts w:ascii="tahoma" w:hAnsi="tahoma" w:cs="tahoma"/>
              </w:rPr>
              <w:t xml:space="preserve">Коэфф. </w:t>
            </w:r>
          </w:p>
          <w:p>
            <w:pPr>
              <w:spacing w:before="0" w:after="0" w:line="240" w:lineRule="auto"/>
            </w:pPr>
            <w:r>
              <w:rPr>
                <w:rFonts w:ascii="tahoma" w:hAnsi="tahoma" w:cs="tahoma"/>
              </w:rPr>
              <w:t xml:space="preserve">вариации </w:t>
            </w:r>
          </w:p>
        </w:tc>
        <w:tc>
          <w:tcPr>
            <w:tcW w:w="800" w:type="dxa"/>
          </w:tcPr>
          <w:p>
            <w:pPr>
              <w:jc w:val="right"/>
              <w:spacing w:before="0" w:after="0" w:line="240" w:lineRule="auto"/>
            </w:pPr>
            <w:r>
              <w:rPr>
                <w:rFonts w:ascii="tahoma" w:hAnsi="tahoma" w:cs="tahoma"/>
              </w:rPr>
              <w:t xml:space="preserve">Цена для расчета </w:t>
            </w:r>
          </w:p>
        </w:tc>
        <w:tc>
          <w:tcPr>
            <w:tcW w:w="800" w:type="dxa"/>
          </w:tcPr>
          <w:p>
            <w:pPr>
              <w:jc w:val="right"/>
              <w:spacing w:before="0" w:after="0" w:line="240" w:lineRule="auto"/>
            </w:pPr>
            <w:r>
              <w:rPr>
                <w:rFonts w:ascii="tahoma" w:hAnsi="tahoma" w:cs="tahoma"/>
              </w:rPr>
              <w:t xml:space="preserve">Кол-во </w:t>
            </w:r>
          </w:p>
        </w:tc>
        <w:tc>
          <w:tcPr>
            <w:tcW w:w="800" w:type="dxa"/>
          </w:tcPr>
          <w:p>
            <w:pPr>
              <w:jc w:val="right"/>
              <w:spacing w:before="0" w:after="0" w:line="240" w:lineRule="auto"/>
            </w:pPr>
            <w:r>
              <w:rPr>
                <w:rFonts w:ascii="tahoma" w:hAnsi="tahoma" w:cs="tahoma"/>
              </w:rPr>
              <w:t xml:space="preserve">Стоимость позиции </w:t>
            </w:r>
          </w:p>
        </w:tc>
      </w:tr>
      <w:tr>
        <w:trPr>
          <w:cantSplit/>
        </w:trPr>
        <w:tc>
          <w:tcPr>
            <w:tcW w:w="800" w:type="dxa"/>
          </w:tcPr>
          <w:p>
            <w:pPr>
              <w:jc w:val="left"/>
              <w:spacing w:before="0" w:after="0" w:line="240" w:lineRule="auto"/>
            </w:pPr>
            <w:r>
              <w:rPr>
                <w:rFonts w:ascii="tahoma" w:hAnsi="tahoma" w:cs="tahoma"/>
              </w:rPr>
              <w:t xml:space="preserve">Труба ПЭ 100 SDR 11 ф110 </w:t>
            </w:r>
          </w:p>
        </w:tc>
        <w:tc>
          <w:tcPr>
            <w:tcW w:w="800" w:type="dxa"/>
          </w:tcPr>
          <w:p>
            <w:pPr>
              <w:jc w:val="left"/>
              <w:spacing w:before="0" w:after="0" w:line="240" w:lineRule="auto"/>
            </w:pPr>
            <w:r>
              <w:rPr>
                <w:rFonts w:ascii="tahoma" w:hAnsi="tahoma" w:cs="tahoma"/>
              </w:rPr>
              <w:t xml:space="preserve">22.21.21.122 </w:t>
            </w:r>
          </w:p>
        </w:tc>
        <w:tc>
          <w:tcPr>
            <w:tcW w:w="800" w:type="dxa"/>
          </w:tcPr>
          <w:p>
            <w:pPr>
              <w:jc w:val="left"/>
              <w:spacing w:before="0" w:after="0" w:line="240" w:lineRule="auto"/>
            </w:pPr>
            <w:r>
              <w:rPr>
                <w:rFonts w:ascii="tahoma" w:hAnsi="tahoma" w:cs="tahoma"/>
              </w:rPr>
              <w:t xml:space="preserve">шт </w:t>
            </w:r>
          </w:p>
        </w:tc>
        <w:tc>
          <w:tcPr>
            <w:tcW w:w="800" w:type="dxa"/>
          </w:tcPr>
          <w:p>
            <w:pPr>
              <w:jc w:val="right"/>
              <w:spacing w:before="0" w:after="0" w:line="240" w:lineRule="auto"/>
            </w:pPr>
            <w:r>
              <w:rPr>
                <w:rFonts w:ascii="tahoma" w:hAnsi="tahoma" w:cs="tahoma"/>
              </w:rPr>
              <w:t xml:space="preserve">7285.00 </w:t>
            </w:r>
          </w:p>
        </w:tc>
        <w:tc>
          <w:tcPr>
            <w:tcW w:w="800" w:type="dxa"/>
          </w:tcPr>
          <w:p>
            <w:pPr>
              <w:jc w:val="right"/>
              <w:spacing w:before="0" w:after="0" w:line="240" w:lineRule="auto"/>
            </w:pPr>
            <w:r>
              <w:rPr>
                <w:rFonts w:ascii="tahoma" w:hAnsi="tahoma" w:cs="tahoma"/>
              </w:rPr>
              <w:t xml:space="preserve">7308.00 </w:t>
            </w:r>
          </w:p>
        </w:tc>
        <w:tc>
          <w:tcPr>
            <w:tcW w:w="800" w:type="dxa"/>
          </w:tcPr>
          <w:p>
            <w:pPr>
              <w:jc w:val="right"/>
              <w:spacing w:before="0" w:after="0" w:line="240" w:lineRule="auto"/>
            </w:pPr>
            <w:r>
              <w:rPr>
                <w:rFonts w:ascii="tahoma" w:hAnsi="tahoma" w:cs="tahoma"/>
              </w:rPr>
              <w:t xml:space="preserve">7345.33 </w:t>
            </w:r>
          </w:p>
        </w:tc>
        <w:tc>
          <w:tcPr>
            <w:tcW w:w="800" w:type="dxa"/>
          </w:tcPr>
          <w:p>
            <w:pPr>
              <w:jc w:val="right"/>
              <w:spacing w:before="0" w:after="0" w:line="240" w:lineRule="auto"/>
            </w:pPr>
            <w:r>
              <w:rPr>
                <w:rFonts w:ascii="tahoma" w:hAnsi="tahoma" w:cs="tahoma"/>
              </w:rPr>
              <w:t xml:space="preserve">7312.78 </w:t>
            </w:r>
          </w:p>
        </w:tc>
        <w:tc>
          <w:tcPr>
            <w:tcW w:w="800" w:type="dxa"/>
          </w:tcPr>
          <w:p>
            <w:pPr>
              <w:jc w:val="right"/>
              <w:spacing w:before="0" w:after="0" w:line="240" w:lineRule="auto"/>
            </w:pPr>
            <w:r>
              <w:rPr>
                <w:rFonts w:ascii="tahoma" w:hAnsi="tahoma" w:cs="tahoma"/>
              </w:rPr>
              <w:t xml:space="preserve">0.42% </w:t>
            </w:r>
          </w:p>
        </w:tc>
        <w:tc>
          <w:tcPr>
            <w:tcW w:w="800" w:type="dxa"/>
          </w:tcPr>
          <w:p>
            <w:pPr>
              <w:jc w:val="right"/>
              <w:spacing w:before="0" w:after="0" w:line="240" w:lineRule="auto"/>
            </w:pPr>
            <w:r>
              <w:rPr>
                <w:rFonts w:ascii="tahoma" w:hAnsi="tahoma" w:cs="tahoma"/>
              </w:rPr>
              <w:t xml:space="preserve">7285.00 </w:t>
            </w:r>
          </w:p>
        </w:tc>
        <w:tc>
          <w:tcPr>
            <w:tcW w:w="800" w:type="dxa"/>
          </w:tcPr>
          <w:p>
            <w:pPr>
              <w:jc w:val="right"/>
              <w:spacing w:before="0" w:after="0" w:line="240" w:lineRule="auto"/>
            </w:pPr>
            <w:r>
              <w:rPr>
                <w:rFonts w:ascii="tahoma" w:hAnsi="tahoma" w:cs="tahoma"/>
              </w:rPr>
              <w:t xml:space="preserve">75.00 </w:t>
            </w:r>
          </w:p>
        </w:tc>
        <w:tc>
          <w:tcPr>
            <w:tcW w:w="800" w:type="dxa"/>
          </w:tcPr>
          <w:p>
            <w:pPr>
              <w:jc w:val="right"/>
              <w:spacing w:before="0" w:after="0" w:line="240" w:lineRule="auto"/>
            </w:pPr>
            <w:r>
              <w:rPr>
                <w:rFonts w:ascii="tahoma" w:hAnsi="tahoma" w:cs="tahoma"/>
              </w:rPr>
              <w:t xml:space="preserve">546375.00 </w:t>
            </w:r>
          </w:p>
        </w:tc>
      </w:tr>
    </w:tbl>
    <w:p>
      <w:pPr>
        <w:jc w:val="both"/>
        <w:spacing w:before="0" w:after="0" w:line="240" w:lineRule="auto"/>
      </w:pPr>
      <w:r>
        <w:rPr>
          <w:rFonts w:ascii="tahoma" w:hAnsi="tahoma" w:cs="tahoma"/>
        </w:rPr>
        <w:t xml:space="preserve">В соответствии с приведенной методикой и полученными данными расчетная цена контракта составляет </w:t>
      </w:r>
    </w:p>
    <w:p>
      <w:pPr>
        <w:spacing w:before="0" w:after="0" w:line="240" w:lineRule="auto"/>
      </w:pPr>
      <w:r>
        <w:rPr>
          <w:rFonts w:ascii="tahoma" w:hAnsi="tahoma" w:cs="tahoma"/>
        </w:rPr>
        <w:t xml:space="preserve">546 375.00 (Пятьсот сорок шесть тысяч триста семьдесят пять рублей 00 копеек), включая НДС </w:t>
      </w:r>
    </w:p>
    <w:p>
      <w:pPr>
        <w:jc w:val="both"/>
        <w:spacing w:before="0" w:after="0" w:line="240" w:lineRule="auto"/>
      </w:pPr>
      <w:r>
        <w:rPr>
          <w:rFonts w:ascii="tahoma" w:hAnsi="tahoma" w:cs="tahoma"/>
        </w:rPr>
        <w:t xml:space="preserve">С учетом лимита бюджетного финансирования начальная (максимальная) цена государственного контракта установлена в размере </w:t>
      </w:r>
    </w:p>
    <w:p>
      <w:pPr>
        <w:spacing w:before="0" w:after="0" w:line="240" w:lineRule="auto"/>
      </w:pPr>
      <w:r>
        <w:rPr>
          <w:rFonts w:ascii="tahoma" w:hAnsi="tahoma" w:cs="tahoma"/>
        </w:rPr>
        <w:t xml:space="preserve">546 375.00 (Пятьсот сорок шесть тысяч триста семьдесят пять рублей 00 копеек), включая НДС </w:t>
      </w:r>
    </w:p>
    <w:p>
      <w:pPr>
        <w:jc w:val="both"/>
        <w:spacing w:before="0" w:after="0" w:line="240" w:lineRule="auto"/>
      </w:pPr>
      <w:r>
        <w:rPr>
          <w:rFonts w:ascii="tahoma" w:hAnsi="tahoma" w:cs="tahoma"/>
        </w:rPr>
        <w:t xml:space="preserve">Ответственный за закупки </w:t>
      </w:r>
    </w:p>
    <w:p>
      <w:pPr>
        <w:spacing w:before="0" w:after="0" w:line="240" w:lineRule="auto"/>
      </w:pPr>
      <w:r>
        <w:rPr>
          <w:rFonts w:ascii="tahoma" w:hAnsi="tahoma" w:cs="tahoma"/>
        </w:rPr>
        <w:t xml:space="preserve">Контрактный управляющий Потехин Алексей Сергеевич 31.07.2023 </w:t>
      </w:r>
    </w:p>
    <w:p>
      <w:pPr>
        <w:jc w:val="both"/>
        <w:spacing w:before="0" w:after="0" w:line="240" w:lineRule="auto"/>
      </w:pPr>
    </w:p>
    <w:p>
      <w:pPr>
        <w:spacing w:before="0" w:after="0" w:line="240" w:lineRule="auto"/>
      </w:pPr>
    </w:p>
    <w:p>
      <w:pPr>
        <w:spacing w:before="0" w:after="0" w:line="240" w:lineRule="auto"/>
      </w:pPr>
      <w:r>
        <w:rPr>
          <w:rFonts w:ascii="tahoma" w:hAnsi="tahoma" w:cs="tahoma"/>
          <w:color w:val="990000"/>
        </w:rPr>
        <w:t xml:space="preserve">_____________________________________________________________________ </w:t>
      </w:r>
    </w:p>
    <w:p>
      <w:pPr>
        <w:jc w:val="both"/>
        <w:spacing w:before="0" w:after="0" w:line="240" w:lineRule="auto"/>
      </w:pPr>
      <w:r>
        <w:rPr>
          <w:rFonts w:ascii="tahoma" w:hAnsi="tahoma" w:cs="tahoma"/>
          <w:color w:val="990000"/>
          <w:sz w:val="28"/>
          <w:szCs w:val="28"/>
        </w:rPr>
        <w:t xml:space="preserve">ЕСЛИ НЕ УСТРАИВАЕТ ФОРМА ДОКУМЕНТОВ: </w:t>
      </w:r>
    </w:p>
    <w:p>
      <w:pPr>
        <w:jc w:val="both"/>
        <w:spacing w:before="0" w:after="0" w:line="240" w:lineRule="auto"/>
      </w:pPr>
      <w:r>
        <w:rPr>
          <w:rFonts w:ascii="tahoma" w:hAnsi="tahoma" w:cs="tahoma"/>
          <w:color w:val="990000"/>
        </w:rPr>
        <w:t xml:space="preserve">Документ подготовлен по одной из стандартных форм </w:t>
      </w:r>
    </w:p>
    <w:p>
      <w:pPr>
        <w:spacing w:before="0" w:after="0" w:line="240" w:lineRule="auto"/>
      </w:pPr>
      <w:r>
        <w:rPr>
          <w:rFonts w:ascii="tahoma" w:hAnsi="tahoma" w:cs="tahoma"/>
          <w:color w:val="990000"/>
        </w:rPr>
        <w:t xml:space="preserve">Программа позволяет выбирать форму по которой делается документ. Шаблон это специально подготовленный образец документа, в котором вставляются введенные вами данные. </w:t>
      </w:r>
    </w:p>
    <w:p>
      <w:pPr>
        <w:spacing w:before="0" w:after="0" w:line="240" w:lineRule="auto"/>
      </w:pPr>
    </w:p>
    <w:p>
      <w:pPr>
        <w:spacing w:before="0" w:after="0" w:line="240" w:lineRule="auto"/>
      </w:pPr>
      <w:r>
        <w:rPr>
          <w:rFonts w:ascii="tahoma" w:hAnsi="tahoma" w:cs="tahoma"/>
          <w:color w:val="990000"/>
        </w:rPr>
        <w:t xml:space="preserve">1. Для выбора формы документа из готовых форм вы можете: </w:t>
      </w:r>
    </w:p>
    <w:p>
      <w:pPr>
        <w:spacing w:before="0" w:after="0" w:line="240" w:lineRule="auto"/>
      </w:pPr>
      <w:r>
        <w:rPr>
          <w:rFonts w:ascii="tahoma" w:hAnsi="tahoma" w:cs="tahoma"/>
          <w:color w:val="990000"/>
        </w:rPr>
        <w:t xml:space="preserve">1.1 В окне подготовки обоснования цены, выпадающий список на нижней серой полосе, правее надписи "Обоснование цены" </w:t>
      </w:r>
    </w:p>
    <w:p>
      <w:pPr>
        <w:spacing w:before="0" w:after="0" w:line="240" w:lineRule="auto"/>
      </w:pPr>
      <w:r>
        <w:rPr>
          <w:rFonts w:ascii="tahoma" w:hAnsi="tahoma" w:cs="tahoma"/>
          <w:color w:val="990000"/>
        </w:rPr>
        <w:t xml:space="preserve">1.2 В окне предварительного просмотра в выпадающем списке в правом верхнем углу окна. </w:t>
      </w:r>
    </w:p>
    <w:p>
      <w:pPr>
        <w:spacing w:before="0" w:after="0" w:line="240" w:lineRule="auto"/>
      </w:pPr>
    </w:p>
    <w:p>
      <w:pPr>
        <w:spacing w:before="0" w:after="0" w:line="240" w:lineRule="auto"/>
      </w:pPr>
      <w:r>
        <w:rPr>
          <w:rFonts w:ascii="tahoma" w:hAnsi="tahoma" w:cs="tahoma"/>
          <w:color w:val="990000"/>
        </w:rPr>
        <w:t xml:space="preserve">2. Вы можете создать новую форму документа самостоятельно. Для этого перейдите в предварительный просмотр, нажмите кнопку "редактировать шаблон". Если вы пытаетесь редактировать стандартный шаблон, вам потребуется нажать кнопку для его копирования, после чего вы можете свободно редактировать копию шаблона. </w:t>
      </w:r>
    </w:p>
    <w:p>
      <w:pPr>
        <w:spacing w:before="0" w:after="0" w:line="240" w:lineRule="auto"/>
      </w:pPr>
    </w:p>
    <w:p>
      <w:pPr>
        <w:spacing w:before="0" w:after="0" w:line="240" w:lineRule="auto"/>
      </w:pPr>
      <w:r>
        <w:rPr>
          <w:rFonts w:ascii="tahoma" w:hAnsi="tahoma" w:cs="tahoma"/>
          <w:color w:val="990000"/>
        </w:rPr>
        <w:t xml:space="preserve">3. Если вас не устраивает полученный документ, пришлите нам свою готовую форму в формате Excel/Word на support@antirutina.net </w:t>
      </w:r>
    </w:p>
    <w:sectPr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4bb2763072407662deee1306b0d04716">
    <w:name w:val="4bb2763072407662deee1306b0d04716"/>
    <w:uiPriority w:val="99"/>
    <w:tblPr>
      <w:tblCellMar>
        <w:top w:w="0" w:type="dxa"/>
        <w:left w:w="0" w:type="dxa"/>
        <w:right w:w="0" w:type="dxa"/>
        <w:bottom w:w="0" w:type="dxa"/>
      </w:tblCellMar>
      <w:tblBorders>
        <w:top w:val="single" w:sz="1" w:color="006699"/>
        <w:left w:val="single" w:sz="1" w:color="006699"/>
        <w:right w:val="single" w:sz="1" w:color="006699"/>
        <w:bottom w:val="single" w:sz="1" w:color="006699"/>
        <w:insideH w:val="single" w:sz="1" w:color="006699"/>
        <w:insideV w:val="single" w:sz="1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2023-07-31T12:09:46+03:00</dcterms:created>
  <dcterms:modified xsi:type="dcterms:W3CDTF">2023-07-31T12:09:46+03:00</dcterms:modified>
  <dc:title/>
  <dc:description/>
  <dc:subject/>
  <cp:keywords/>
  <cp:category/>
</cp:coreProperties>
</file>