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45" w:rsidRPr="00687959" w:rsidRDefault="00C82C45" w:rsidP="00C82C45">
      <w:pPr>
        <w:tabs>
          <w:tab w:val="left" w:pos="8931"/>
        </w:tabs>
        <w:jc w:val="center"/>
        <w:rPr>
          <w:rFonts w:ascii="Times New Roman" w:hAnsi="Times New Roman" w:cs="Times New Roman"/>
          <w:b/>
          <w:bCs/>
          <w:sz w:val="28"/>
          <w:szCs w:val="24"/>
        </w:rPr>
      </w:pPr>
      <w:r w:rsidRPr="00687959">
        <w:rPr>
          <w:rFonts w:ascii="Times New Roman" w:hAnsi="Times New Roman" w:cs="Times New Roman"/>
          <w:b/>
          <w:bCs/>
          <w:sz w:val="28"/>
          <w:szCs w:val="24"/>
        </w:rPr>
        <w:t xml:space="preserve">РАЗДЕЛ </w:t>
      </w:r>
      <w:r w:rsidR="0010289B">
        <w:rPr>
          <w:rFonts w:ascii="Times New Roman" w:hAnsi="Times New Roman" w:cs="Times New Roman"/>
          <w:b/>
          <w:bCs/>
          <w:sz w:val="28"/>
          <w:szCs w:val="24"/>
        </w:rPr>
        <w:t>10</w:t>
      </w:r>
      <w:r w:rsidRPr="00687959">
        <w:rPr>
          <w:rFonts w:ascii="Times New Roman" w:hAnsi="Times New Roman" w:cs="Times New Roman"/>
          <w:b/>
          <w:bCs/>
          <w:sz w:val="28"/>
          <w:szCs w:val="24"/>
        </w:rPr>
        <w:t xml:space="preserve"> ИНСТРУКЦИЯ ПО ЗАПОЛНЕНИЮ ЗАЯВКИ</w:t>
      </w: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Перечень документов и информаци</w:t>
      </w:r>
      <w:r w:rsidR="00714A46">
        <w:rPr>
          <w:rFonts w:ascii="Times New Roman" w:hAnsi="Times New Roman" w:cs="Times New Roman"/>
          <w:noProof w:val="0"/>
          <w:sz w:val="28"/>
          <w:szCs w:val="24"/>
        </w:rPr>
        <w:t xml:space="preserve">и, которые должны содержаться в первой </w:t>
      </w:r>
      <w:r w:rsidRPr="00687959">
        <w:rPr>
          <w:rFonts w:ascii="Times New Roman" w:hAnsi="Times New Roman" w:cs="Times New Roman"/>
          <w:noProof w:val="0"/>
          <w:sz w:val="28"/>
          <w:szCs w:val="24"/>
        </w:rPr>
        <w:t xml:space="preserve">и </w:t>
      </w:r>
      <w:r w:rsidR="00714A46">
        <w:rPr>
          <w:rFonts w:ascii="Times New Roman" w:hAnsi="Times New Roman" w:cs="Times New Roman"/>
          <w:noProof w:val="0"/>
          <w:sz w:val="28"/>
          <w:szCs w:val="24"/>
        </w:rPr>
        <w:t>второй</w:t>
      </w:r>
      <w:r w:rsidRPr="00687959">
        <w:rPr>
          <w:rFonts w:ascii="Times New Roman" w:hAnsi="Times New Roman" w:cs="Times New Roman"/>
          <w:noProof w:val="0"/>
          <w:sz w:val="28"/>
          <w:szCs w:val="24"/>
        </w:rPr>
        <w:t xml:space="preserve"> частях заявки на участие в </w:t>
      </w:r>
      <w:r w:rsidR="00714A46">
        <w:rPr>
          <w:rFonts w:ascii="Times New Roman" w:hAnsi="Times New Roman" w:cs="Times New Roman"/>
          <w:noProof w:val="0"/>
          <w:sz w:val="28"/>
          <w:szCs w:val="24"/>
        </w:rPr>
        <w:t>электронном аукционе</w:t>
      </w:r>
      <w:r w:rsidRPr="00687959">
        <w:rPr>
          <w:rFonts w:ascii="Times New Roman" w:hAnsi="Times New Roman" w:cs="Times New Roman"/>
          <w:noProof w:val="0"/>
          <w:sz w:val="28"/>
          <w:szCs w:val="24"/>
        </w:rPr>
        <w:t xml:space="preserve">, установлен в Разделе </w:t>
      </w:r>
      <w:r w:rsidR="00714A46">
        <w:rPr>
          <w:rFonts w:ascii="Times New Roman" w:hAnsi="Times New Roman" w:cs="Times New Roman"/>
          <w:noProof w:val="0"/>
          <w:sz w:val="28"/>
          <w:szCs w:val="24"/>
        </w:rPr>
        <w:t>8</w:t>
      </w:r>
      <w:r w:rsidRPr="00687959">
        <w:rPr>
          <w:rFonts w:ascii="Times New Roman" w:hAnsi="Times New Roman" w:cs="Times New Roman"/>
          <w:noProof w:val="0"/>
          <w:sz w:val="28"/>
          <w:szCs w:val="24"/>
        </w:rPr>
        <w:t xml:space="preserve"> документации.</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Если законодательством Российской Федерации установлено требование к формам и содержанию документов, которые должны быть предоставлены участником </w:t>
      </w:r>
      <w:r w:rsidR="00714A46">
        <w:rPr>
          <w:rFonts w:ascii="Times New Roman" w:hAnsi="Times New Roman" w:cs="Times New Roman"/>
          <w:noProof w:val="0"/>
          <w:sz w:val="28"/>
          <w:szCs w:val="24"/>
        </w:rPr>
        <w:t>электронного аукциона</w:t>
      </w:r>
      <w:r w:rsidRPr="00687959">
        <w:rPr>
          <w:rFonts w:ascii="Times New Roman" w:hAnsi="Times New Roman" w:cs="Times New Roman"/>
          <w:noProof w:val="0"/>
          <w:sz w:val="28"/>
          <w:szCs w:val="24"/>
        </w:rPr>
        <w:t xml:space="preserve"> в составе заявки, такие требования должны быть соблюдены.</w:t>
      </w: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В соответствии с </w:t>
      </w:r>
      <w:r w:rsidR="00714A46">
        <w:rPr>
          <w:rFonts w:ascii="Times New Roman" w:hAnsi="Times New Roman" w:cs="Times New Roman"/>
          <w:noProof w:val="0"/>
          <w:sz w:val="28"/>
          <w:szCs w:val="24"/>
        </w:rPr>
        <w:t>пунктом</w:t>
      </w:r>
      <w:r w:rsidRPr="00687959">
        <w:rPr>
          <w:rFonts w:ascii="Times New Roman" w:hAnsi="Times New Roman" w:cs="Times New Roman"/>
          <w:noProof w:val="0"/>
          <w:sz w:val="28"/>
          <w:szCs w:val="24"/>
        </w:rPr>
        <w:t xml:space="preserve"> </w:t>
      </w:r>
      <w:r w:rsidR="00714A46">
        <w:rPr>
          <w:rFonts w:ascii="Times New Roman" w:hAnsi="Times New Roman" w:cs="Times New Roman"/>
          <w:noProof w:val="0"/>
          <w:sz w:val="28"/>
          <w:szCs w:val="24"/>
        </w:rPr>
        <w:t>2.1</w:t>
      </w:r>
      <w:r w:rsidRPr="00687959">
        <w:rPr>
          <w:rFonts w:ascii="Times New Roman" w:hAnsi="Times New Roman" w:cs="Times New Roman"/>
          <w:noProof w:val="0"/>
          <w:sz w:val="28"/>
          <w:szCs w:val="24"/>
        </w:rPr>
        <w:t xml:space="preserve"> </w:t>
      </w:r>
      <w:r w:rsidR="00714A46">
        <w:rPr>
          <w:rFonts w:ascii="Times New Roman" w:hAnsi="Times New Roman" w:cs="Times New Roman"/>
          <w:noProof w:val="0"/>
          <w:sz w:val="28"/>
          <w:szCs w:val="24"/>
        </w:rPr>
        <w:t>Р</w:t>
      </w:r>
      <w:r w:rsidRPr="00687959">
        <w:rPr>
          <w:rFonts w:ascii="Times New Roman" w:hAnsi="Times New Roman" w:cs="Times New Roman"/>
          <w:noProof w:val="0"/>
          <w:sz w:val="28"/>
          <w:szCs w:val="24"/>
        </w:rPr>
        <w:t xml:space="preserve">аздела </w:t>
      </w:r>
      <w:r w:rsidR="00714A46">
        <w:rPr>
          <w:rFonts w:ascii="Times New Roman" w:hAnsi="Times New Roman" w:cs="Times New Roman"/>
          <w:noProof w:val="0"/>
          <w:sz w:val="28"/>
          <w:szCs w:val="24"/>
        </w:rPr>
        <w:t>8</w:t>
      </w:r>
      <w:r w:rsidR="00714A46" w:rsidRPr="00687959">
        <w:rPr>
          <w:rFonts w:ascii="Times New Roman" w:hAnsi="Times New Roman" w:cs="Times New Roman"/>
          <w:noProof w:val="0"/>
          <w:sz w:val="28"/>
          <w:szCs w:val="24"/>
        </w:rPr>
        <w:t xml:space="preserve"> документации</w:t>
      </w:r>
      <w:r w:rsidR="00714A46">
        <w:rPr>
          <w:rFonts w:ascii="Times New Roman" w:hAnsi="Times New Roman" w:cs="Times New Roman"/>
          <w:noProof w:val="0"/>
          <w:sz w:val="28"/>
          <w:szCs w:val="24"/>
        </w:rPr>
        <w:t xml:space="preserve"> </w:t>
      </w:r>
      <w:r w:rsidRPr="00687959">
        <w:rPr>
          <w:rFonts w:ascii="Times New Roman" w:hAnsi="Times New Roman" w:cs="Times New Roman"/>
          <w:noProof w:val="0"/>
          <w:sz w:val="28"/>
          <w:szCs w:val="24"/>
        </w:rPr>
        <w:t>первая часть заявки на участие в электронном аукционе (предложение участника в отношении объекта закупки) должна содержать, конкретные показатели поставляемого (используемого при оказании услуг, выполнении работ) товара.</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Следует учесть, что если участник предлагает к использованию товар, эквивалентный товару,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В случае если Разделом 2 документации в качестве объекта закупки  предусмотрена поставка товара, являющегося в соответствии со статьей 134 </w:t>
      </w:r>
      <w:r w:rsidR="00714A46">
        <w:rPr>
          <w:rFonts w:ascii="Times New Roman" w:hAnsi="Times New Roman" w:cs="Times New Roman"/>
          <w:noProof w:val="0"/>
          <w:sz w:val="28"/>
          <w:szCs w:val="24"/>
        </w:rPr>
        <w:t xml:space="preserve">Гражданского кодекса Российской Федерации </w:t>
      </w:r>
      <w:r w:rsidRPr="00687959">
        <w:rPr>
          <w:rFonts w:ascii="Times New Roman" w:hAnsi="Times New Roman" w:cs="Times New Roman"/>
          <w:noProof w:val="0"/>
          <w:sz w:val="28"/>
          <w:szCs w:val="24"/>
        </w:rPr>
        <w:t xml:space="preserve">сложной вещью, включающей в себя различные вещи, соединенные таким образом, который предполагает их использование по общему назначению, и такие вещи (товары) имеют разные товарные знаки, участнику закупки необходимо в подаваемой в заявке предоставить информацию о товарных знаках (при наличии) и о стране происхождения товара в отношении каждой вещи,  входящей в состав сложной вещи.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Наименование страны происхождения товаров рекомендуется указывать в соответствии с Общероссийским классификатором стран мира OK (MK (ИСО 3166) 004-97) 025-2001. Ответственность за достоверность сведений о стране происхождения товара, указанного </w:t>
      </w:r>
      <w:r w:rsidR="00714A46" w:rsidRPr="00687959">
        <w:rPr>
          <w:rFonts w:ascii="Times New Roman" w:hAnsi="Times New Roman" w:cs="Times New Roman"/>
          <w:noProof w:val="0"/>
          <w:sz w:val="28"/>
          <w:szCs w:val="24"/>
        </w:rPr>
        <w:t>в заявке, несет</w:t>
      </w:r>
      <w:r w:rsidRPr="00687959">
        <w:rPr>
          <w:rFonts w:ascii="Times New Roman" w:hAnsi="Times New Roman" w:cs="Times New Roman"/>
          <w:noProof w:val="0"/>
          <w:sz w:val="28"/>
          <w:szCs w:val="24"/>
        </w:rPr>
        <w:t xml:space="preserve"> участник закупки.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В случае если предметом закупки являются изделия медицинского назначения, то участником закупки в первой части заявки на участие в закупки должны быть указаны наименования товаров, входящих в объект закупки, в соответствии с регистрационными удостоверениями на такие изделия.</w:t>
      </w: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Если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w:t>
      </w:r>
      <w:r w:rsidRPr="00687959">
        <w:rPr>
          <w:rFonts w:ascii="Times New Roman" w:hAnsi="Times New Roman" w:cs="Times New Roman"/>
          <w:noProof w:val="0"/>
          <w:sz w:val="28"/>
          <w:szCs w:val="24"/>
        </w:rPr>
        <w:lastRenderedPageBreak/>
        <w:t xml:space="preserve">и терминология, необходимость в других показателях, требованиях, условных обозначениях и терминологии обусловлена потребностью заказчика. </w:t>
      </w: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При</w:t>
      </w:r>
      <w:r w:rsidR="00714A46">
        <w:rPr>
          <w:rFonts w:ascii="Times New Roman" w:hAnsi="Times New Roman" w:cs="Times New Roman"/>
          <w:noProof w:val="0"/>
          <w:sz w:val="28"/>
          <w:szCs w:val="24"/>
        </w:rPr>
        <w:t xml:space="preserve"> описании заказчиком закупаемых (используемых) </w:t>
      </w:r>
      <w:r w:rsidRPr="00687959">
        <w:rPr>
          <w:rFonts w:ascii="Times New Roman" w:hAnsi="Times New Roman" w:cs="Times New Roman"/>
          <w:noProof w:val="0"/>
          <w:sz w:val="28"/>
          <w:szCs w:val="24"/>
        </w:rPr>
        <w:t>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Сходные объекты закупки могут иметь ряд одинаковых показателей, установленных в документации, но каждый объект индивидуализируется единственным образом только ему присущими параметрами (значениями).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В случае если значения показателей (функциональных, технических, качественных, эксплуатационных характеристик), </w:t>
      </w:r>
      <w:r w:rsidR="00714A46" w:rsidRPr="00687959">
        <w:rPr>
          <w:rFonts w:ascii="Times New Roman" w:hAnsi="Times New Roman" w:cs="Times New Roman"/>
          <w:noProof w:val="0"/>
          <w:sz w:val="28"/>
          <w:szCs w:val="24"/>
        </w:rPr>
        <w:t>устанавливающих требование</w:t>
      </w:r>
      <w:r w:rsidRPr="00687959">
        <w:rPr>
          <w:rFonts w:ascii="Times New Roman" w:hAnsi="Times New Roman" w:cs="Times New Roman"/>
          <w:noProof w:val="0"/>
          <w:sz w:val="28"/>
          <w:szCs w:val="24"/>
        </w:rPr>
        <w:t xml:space="preserve"> заказчика к закупаемым товарам, определены как максимальные и (или) минимальные, предложение участника закупки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При исполнении договора заказчик осуществля</w:t>
      </w:r>
      <w:r w:rsidR="00714A46">
        <w:rPr>
          <w:rFonts w:ascii="Times New Roman" w:hAnsi="Times New Roman" w:cs="Times New Roman"/>
          <w:noProof w:val="0"/>
          <w:sz w:val="28"/>
          <w:szCs w:val="24"/>
        </w:rPr>
        <w:t>ет</w:t>
      </w:r>
      <w:r w:rsidRPr="00687959">
        <w:rPr>
          <w:rFonts w:ascii="Times New Roman" w:hAnsi="Times New Roman" w:cs="Times New Roman"/>
          <w:noProof w:val="0"/>
          <w:sz w:val="28"/>
          <w:szCs w:val="24"/>
        </w:rPr>
        <w:t xml:space="preserve">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договора на основании соответствующих положений заключенного договора.</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В подаваемом предложении в отношении товара участниками должны применяться наименования показателей и единицы </w:t>
      </w:r>
      <w:r w:rsidR="00714A46" w:rsidRPr="00687959">
        <w:rPr>
          <w:rFonts w:ascii="Times New Roman" w:hAnsi="Times New Roman" w:cs="Times New Roman"/>
          <w:noProof w:val="0"/>
          <w:sz w:val="28"/>
          <w:szCs w:val="24"/>
        </w:rPr>
        <w:t>измерения, соответствующие</w:t>
      </w:r>
      <w:r w:rsidRPr="00687959">
        <w:rPr>
          <w:rFonts w:ascii="Times New Roman" w:hAnsi="Times New Roman" w:cs="Times New Roman"/>
          <w:noProof w:val="0"/>
          <w:sz w:val="28"/>
          <w:szCs w:val="24"/>
        </w:rPr>
        <w:t xml:space="preserve"> установленным в Разделе 2 документации.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rsidR="00C82C45" w:rsidRPr="00687959" w:rsidRDefault="00C82C45" w:rsidP="00C82C45">
      <w:pPr>
        <w:autoSpaceDE w:val="0"/>
        <w:autoSpaceDN w:val="0"/>
        <w:adjustRightInd w:val="0"/>
        <w:spacing w:after="0" w:line="240" w:lineRule="auto"/>
        <w:ind w:firstLine="708"/>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 xml:space="preserve">Значения показателей, предоставляемых участником, не должны допускать разночтений или </w:t>
      </w:r>
      <w:r w:rsidR="00714A46" w:rsidRPr="00687959">
        <w:rPr>
          <w:rFonts w:ascii="Times New Roman" w:hAnsi="Times New Roman" w:cs="Times New Roman"/>
          <w:noProof w:val="0"/>
          <w:sz w:val="28"/>
          <w:szCs w:val="24"/>
        </w:rPr>
        <w:t>иметь двусмысленное</w:t>
      </w:r>
      <w:r w:rsidRPr="00687959">
        <w:rPr>
          <w:rFonts w:ascii="Times New Roman" w:hAnsi="Times New Roman" w:cs="Times New Roman"/>
          <w:noProof w:val="0"/>
          <w:sz w:val="28"/>
          <w:szCs w:val="24"/>
        </w:rPr>
        <w:t xml:space="preserve"> толкование.</w:t>
      </w:r>
    </w:p>
    <w:p w:rsidR="00C82C45" w:rsidRPr="00687959" w:rsidRDefault="00C82C45" w:rsidP="00C82C45">
      <w:pPr>
        <w:autoSpaceDE w:val="0"/>
        <w:autoSpaceDN w:val="0"/>
        <w:adjustRightInd w:val="0"/>
        <w:spacing w:after="0" w:line="240" w:lineRule="auto"/>
        <w:ind w:firstLine="709"/>
        <w:jc w:val="both"/>
        <w:rPr>
          <w:rFonts w:ascii="Times New Roman" w:hAnsi="Times New Roman" w:cs="Times New Roman"/>
          <w:noProof w:val="0"/>
          <w:sz w:val="28"/>
          <w:szCs w:val="24"/>
        </w:rPr>
      </w:pPr>
      <w:r w:rsidRPr="00687959">
        <w:rPr>
          <w:rFonts w:ascii="Times New Roman" w:hAnsi="Times New Roman" w:cs="Times New Roman"/>
          <w:noProof w:val="0"/>
          <w:sz w:val="28"/>
          <w:szCs w:val="24"/>
        </w:rPr>
        <w:t>Предложение участника в отношении объекта закупки должно полностью соответствовать требованиям к такому объекту, устано</w:t>
      </w:r>
      <w:r w:rsidR="008B34B8">
        <w:rPr>
          <w:rFonts w:ascii="Times New Roman" w:hAnsi="Times New Roman" w:cs="Times New Roman"/>
          <w:noProof w:val="0"/>
          <w:sz w:val="28"/>
          <w:szCs w:val="24"/>
        </w:rPr>
        <w:t xml:space="preserve">вленным заказчиком в Разделе 2 </w:t>
      </w:r>
      <w:r w:rsidRPr="00687959">
        <w:rPr>
          <w:rFonts w:ascii="Times New Roman" w:hAnsi="Times New Roman" w:cs="Times New Roman"/>
          <w:noProof w:val="0"/>
          <w:sz w:val="28"/>
          <w:szCs w:val="24"/>
        </w:rPr>
        <w:t>документации.</w:t>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 xml:space="preserve">В случае, если участником предполагаются к поставке товары с разными параметрами, соответствующие характеристикам, установленным в документации об осуществлении закупки, такие товары отражаются в заявке </w:t>
      </w:r>
      <w:r w:rsidRPr="00687959">
        <w:rPr>
          <w:rFonts w:ascii="Times New Roman" w:hAnsi="Times New Roman" w:cs="Times New Roman"/>
          <w:sz w:val="28"/>
        </w:rPr>
        <w:lastRenderedPageBreak/>
        <w:t>разными позициями с указанием всех характеристик, предусмотренных документацией, и количества по каждой позиции. Например, документацией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«Цвет» значения «Серый» и количества 3 штуки, а в другой – по показателю «Цвет» значения «Черный» и количества 2.</w:t>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При установлении в Разделе 2 документации 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w:t>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Если в описании объекта закупки значение показателя в графе «Значение» сопровождается словами «от» и «до», то предлог «от» означает, что участник закупки должен предложить конкретный показатель более и равный установленному заказчиком, предлог «до» означает, что участник закупки должен предложить конкретный показатель менее или равный установленному заказчиком.</w:t>
      </w:r>
      <w:r w:rsidRPr="00687959">
        <w:rPr>
          <w:rFonts w:ascii="Times New Roman" w:hAnsi="Times New Roman" w:cs="Times New Roman"/>
          <w:sz w:val="28"/>
        </w:rPr>
        <w:tab/>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rsidR="00C82C45" w:rsidRPr="00687959" w:rsidRDefault="00C82C45" w:rsidP="00C82C45">
      <w:pPr>
        <w:pStyle w:val="3"/>
        <w:ind w:right="-57" w:firstLine="708"/>
        <w:rPr>
          <w:rFonts w:ascii="Times New Roman" w:hAnsi="Times New Roman" w:cs="Times New Roman"/>
          <w:sz w:val="28"/>
        </w:rPr>
      </w:pPr>
      <w:r w:rsidRPr="00687959">
        <w:rPr>
          <w:rFonts w:ascii="Times New Roman" w:hAnsi="Times New Roman" w:cs="Times New Roman"/>
          <w:sz w:val="28"/>
        </w:rPr>
        <w:t>Если в графе «Значение» содержатся знаки ±, +/</w:t>
      </w:r>
      <w:r w:rsidRPr="00687959">
        <w:rPr>
          <w:rFonts w:ascii="Times New Roman" w:hAnsi="Times New Roman" w:cs="Times New Roman"/>
          <w:sz w:val="28"/>
        </w:rPr>
        <w:sym w:font="Symbol" w:char="F02D"/>
      </w:r>
      <w:r w:rsidRPr="00687959">
        <w:rPr>
          <w:rFonts w:ascii="Times New Roman" w:hAnsi="Times New Roman" w:cs="Times New Roman"/>
          <w:sz w:val="28"/>
        </w:rPr>
        <w:t xml:space="preserve">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 </w:t>
      </w:r>
    </w:p>
    <w:p w:rsidR="00C82C45" w:rsidRDefault="00C82C45" w:rsidP="00C82C45">
      <w:pPr>
        <w:pStyle w:val="3"/>
        <w:tabs>
          <w:tab w:val="left" w:pos="0"/>
        </w:tabs>
        <w:ind w:right="-57"/>
        <w:rPr>
          <w:rFonts w:ascii="Times New Roman" w:hAnsi="Times New Roman" w:cs="Times New Roman"/>
          <w:sz w:val="28"/>
        </w:rPr>
      </w:pPr>
      <w:r w:rsidRPr="00687959">
        <w:rPr>
          <w:rFonts w:ascii="Times New Roman" w:hAnsi="Times New Roman" w:cs="Times New Roman"/>
          <w:sz w:val="28"/>
        </w:rPr>
        <w:tab/>
        <w:t xml:space="preserve">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 Раздел 2 </w:t>
      </w:r>
      <w:r w:rsidR="000B54CF">
        <w:rPr>
          <w:rFonts w:ascii="Times New Roman" w:hAnsi="Times New Roman" w:cs="Times New Roman"/>
          <w:sz w:val="28"/>
        </w:rPr>
        <w:t xml:space="preserve">документации </w:t>
      </w:r>
      <w:r w:rsidRPr="00687959">
        <w:rPr>
          <w:rFonts w:ascii="Times New Roman" w:hAnsi="Times New Roman" w:cs="Times New Roman"/>
          <w:sz w:val="28"/>
        </w:rPr>
        <w:t>или необходимая таблица</w:t>
      </w:r>
      <w:r w:rsidR="000B54CF">
        <w:rPr>
          <w:rFonts w:ascii="Times New Roman" w:hAnsi="Times New Roman" w:cs="Times New Roman"/>
          <w:sz w:val="28"/>
        </w:rPr>
        <w:t xml:space="preserve">, которая </w:t>
      </w:r>
      <w:r w:rsidRPr="00687959">
        <w:rPr>
          <w:rFonts w:ascii="Times New Roman" w:hAnsi="Times New Roman" w:cs="Times New Roman"/>
          <w:sz w:val="28"/>
        </w:rPr>
        <w:t>в нем содерж</w:t>
      </w:r>
      <w:r w:rsidR="000B54CF">
        <w:rPr>
          <w:rFonts w:ascii="Times New Roman" w:hAnsi="Times New Roman" w:cs="Times New Roman"/>
          <w:sz w:val="28"/>
        </w:rPr>
        <w:t>ится</w:t>
      </w:r>
      <w:r w:rsidRPr="00687959">
        <w:rPr>
          <w:rFonts w:ascii="Times New Roman" w:hAnsi="Times New Roman" w:cs="Times New Roman"/>
          <w:sz w:val="28"/>
        </w:rPr>
        <w:t>.</w:t>
      </w:r>
    </w:p>
    <w:p w:rsidR="00C82C45" w:rsidRPr="002E0BAE" w:rsidRDefault="000B54CF" w:rsidP="002E0BAE">
      <w:pPr>
        <w:widowControl w:val="0"/>
        <w:suppressLineNumbers/>
        <w:tabs>
          <w:tab w:val="left" w:pos="0"/>
        </w:tabs>
        <w:spacing w:after="0" w:line="240" w:lineRule="auto"/>
        <w:ind w:firstLine="698"/>
        <w:jc w:val="both"/>
        <w:rPr>
          <w:rFonts w:ascii="Times New Roman" w:eastAsia="Lucida Sans Unicode" w:hAnsi="Times New Roman" w:cs="Times New Roman"/>
          <w:color w:val="000000"/>
          <w:kern w:val="1"/>
          <w:sz w:val="28"/>
          <w:szCs w:val="24"/>
          <w:lang w:eastAsia="hi-IN" w:bidi="hi-IN"/>
        </w:rPr>
      </w:pPr>
      <w:r w:rsidRPr="00687959">
        <w:rPr>
          <w:rFonts w:ascii="Times New Roman" w:eastAsia="Lucida Sans Unicode" w:hAnsi="Times New Roman" w:cs="Times New Roman"/>
          <w:color w:val="000000"/>
          <w:kern w:val="1"/>
          <w:sz w:val="28"/>
          <w:szCs w:val="24"/>
          <w:lang w:eastAsia="hi-IN" w:bidi="hi-IN"/>
        </w:rPr>
        <w:t xml:space="preserve">Применение в электронных документах скрытых листов, столбцов, строк, текста и т.п. не допускается. Комиссией по </w:t>
      </w:r>
      <w:r>
        <w:rPr>
          <w:rFonts w:ascii="Times New Roman" w:eastAsia="Lucida Sans Unicode" w:hAnsi="Times New Roman" w:cs="Times New Roman"/>
          <w:color w:val="000000"/>
          <w:kern w:val="1"/>
          <w:sz w:val="28"/>
          <w:szCs w:val="24"/>
          <w:lang w:eastAsia="hi-IN" w:bidi="hi-IN"/>
        </w:rPr>
        <w:t xml:space="preserve">осуществлению </w:t>
      </w:r>
      <w:r w:rsidRPr="00687959">
        <w:rPr>
          <w:rFonts w:ascii="Times New Roman" w:eastAsia="Lucida Sans Unicode" w:hAnsi="Times New Roman" w:cs="Times New Roman"/>
          <w:color w:val="000000"/>
          <w:kern w:val="1"/>
          <w:sz w:val="28"/>
          <w:szCs w:val="24"/>
          <w:lang w:eastAsia="hi-IN" w:bidi="hi-IN"/>
        </w:rPr>
        <w:t>закуп</w:t>
      </w:r>
      <w:r>
        <w:rPr>
          <w:rFonts w:ascii="Times New Roman" w:eastAsia="Lucida Sans Unicode" w:hAnsi="Times New Roman" w:cs="Times New Roman"/>
          <w:color w:val="000000"/>
          <w:kern w:val="1"/>
          <w:sz w:val="28"/>
          <w:szCs w:val="24"/>
          <w:lang w:eastAsia="hi-IN" w:bidi="hi-IN"/>
        </w:rPr>
        <w:t>ок</w:t>
      </w:r>
      <w:r w:rsidRPr="00687959">
        <w:rPr>
          <w:rFonts w:ascii="Times New Roman" w:eastAsia="Lucida Sans Unicode" w:hAnsi="Times New Roman" w:cs="Times New Roman"/>
          <w:color w:val="000000"/>
          <w:kern w:val="1"/>
          <w:sz w:val="28"/>
          <w:szCs w:val="24"/>
          <w:lang w:eastAsia="hi-IN" w:bidi="hi-IN"/>
        </w:rPr>
        <w:t xml:space="preserve"> рассматрива</w:t>
      </w:r>
      <w:r>
        <w:rPr>
          <w:rFonts w:ascii="Times New Roman" w:eastAsia="Lucida Sans Unicode" w:hAnsi="Times New Roman" w:cs="Times New Roman"/>
          <w:color w:val="000000"/>
          <w:kern w:val="1"/>
          <w:sz w:val="28"/>
          <w:szCs w:val="24"/>
          <w:lang w:eastAsia="hi-IN" w:bidi="hi-IN"/>
        </w:rPr>
        <w:t>ется</w:t>
      </w:r>
      <w:r w:rsidRPr="00687959">
        <w:rPr>
          <w:rFonts w:ascii="Times New Roman" w:eastAsia="Lucida Sans Unicode" w:hAnsi="Times New Roman" w:cs="Times New Roman"/>
          <w:color w:val="000000"/>
          <w:kern w:val="1"/>
          <w:sz w:val="28"/>
          <w:szCs w:val="24"/>
          <w:lang w:eastAsia="hi-IN" w:bidi="hi-IN"/>
        </w:rPr>
        <w:t xml:space="preserve"> только информация, содержащаяся в заявке на участие в аукционе в эл</w:t>
      </w:r>
      <w:r>
        <w:rPr>
          <w:rFonts w:ascii="Times New Roman" w:eastAsia="Lucida Sans Unicode" w:hAnsi="Times New Roman" w:cs="Times New Roman"/>
          <w:color w:val="000000"/>
          <w:kern w:val="1"/>
          <w:sz w:val="28"/>
          <w:szCs w:val="24"/>
          <w:lang w:eastAsia="hi-IN" w:bidi="hi-IN"/>
        </w:rPr>
        <w:t>ектронной форме, не требующая</w:t>
      </w:r>
      <w:r w:rsidRPr="00687959">
        <w:rPr>
          <w:rFonts w:ascii="Times New Roman" w:eastAsia="Lucida Sans Unicode" w:hAnsi="Times New Roman" w:cs="Times New Roman"/>
          <w:color w:val="000000"/>
          <w:kern w:val="1"/>
          <w:sz w:val="28"/>
          <w:szCs w:val="24"/>
          <w:lang w:eastAsia="hi-IN" w:bidi="hi-IN"/>
        </w:rPr>
        <w:t xml:space="preserve"> открытия скрытых </w:t>
      </w:r>
      <w:r>
        <w:rPr>
          <w:rFonts w:ascii="Times New Roman" w:eastAsia="Lucida Sans Unicode" w:hAnsi="Times New Roman" w:cs="Times New Roman"/>
          <w:color w:val="000000"/>
          <w:kern w:val="1"/>
          <w:sz w:val="28"/>
          <w:szCs w:val="24"/>
          <w:lang w:eastAsia="hi-IN" w:bidi="hi-IN"/>
        </w:rPr>
        <w:t>листов,</w:t>
      </w:r>
      <w:r w:rsidRPr="00687959">
        <w:rPr>
          <w:rFonts w:ascii="Times New Roman" w:eastAsia="Lucida Sans Unicode" w:hAnsi="Times New Roman" w:cs="Times New Roman"/>
          <w:color w:val="000000"/>
          <w:kern w:val="1"/>
          <w:sz w:val="28"/>
          <w:szCs w:val="24"/>
          <w:lang w:eastAsia="hi-IN" w:bidi="hi-IN"/>
        </w:rPr>
        <w:t xml:space="preserve"> скр</w:t>
      </w:r>
      <w:bookmarkStart w:id="0" w:name="_GoBack"/>
      <w:bookmarkEnd w:id="0"/>
      <w:r w:rsidRPr="00687959">
        <w:rPr>
          <w:rFonts w:ascii="Times New Roman" w:eastAsia="Lucida Sans Unicode" w:hAnsi="Times New Roman" w:cs="Times New Roman"/>
          <w:color w:val="000000"/>
          <w:kern w:val="1"/>
          <w:sz w:val="28"/>
          <w:szCs w:val="24"/>
          <w:lang w:eastAsia="hi-IN" w:bidi="hi-IN"/>
        </w:rPr>
        <w:t>ытых столбцов и строк, изменения цвета текста на любой другой, обеспечивающий его читаемость и т.п.</w:t>
      </w:r>
      <w:r>
        <w:rPr>
          <w:rFonts w:ascii="Times New Roman" w:eastAsia="Lucida Sans Unicode" w:hAnsi="Times New Roman" w:cs="Times New Roman"/>
          <w:color w:val="000000"/>
          <w:kern w:val="1"/>
          <w:sz w:val="28"/>
          <w:szCs w:val="24"/>
          <w:lang w:eastAsia="hi-IN" w:bidi="hi-IN"/>
        </w:rPr>
        <w:t xml:space="preserve"> </w:t>
      </w:r>
    </w:p>
    <w:sectPr w:rsidR="00C82C45" w:rsidRPr="002E0BAE" w:rsidSect="002E0BAE">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0F3" w:rsidRDefault="00CB70F3" w:rsidP="00687959">
      <w:pPr>
        <w:spacing w:after="0" w:line="240" w:lineRule="auto"/>
      </w:pPr>
      <w:r>
        <w:separator/>
      </w:r>
    </w:p>
  </w:endnote>
  <w:endnote w:type="continuationSeparator" w:id="0">
    <w:p w:rsidR="00CB70F3" w:rsidRDefault="00CB70F3" w:rsidP="0068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0F3" w:rsidRDefault="00CB70F3" w:rsidP="00687959">
      <w:pPr>
        <w:spacing w:after="0" w:line="240" w:lineRule="auto"/>
      </w:pPr>
      <w:r>
        <w:separator/>
      </w:r>
    </w:p>
  </w:footnote>
  <w:footnote w:type="continuationSeparator" w:id="0">
    <w:p w:rsidR="00CB70F3" w:rsidRDefault="00CB70F3" w:rsidP="00687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5A" w:rsidRPr="00687959" w:rsidRDefault="000B54CF">
    <w:pPr>
      <w:pStyle w:val="a3"/>
      <w:jc w:val="center"/>
      <w:rPr>
        <w:rFonts w:ascii="Times New Roman" w:hAnsi="Times New Roman" w:cs="Times New Roman"/>
        <w:sz w:val="24"/>
        <w:szCs w:val="24"/>
      </w:rPr>
    </w:pPr>
    <w:r w:rsidRPr="00687959">
      <w:rPr>
        <w:rFonts w:ascii="Times New Roman" w:hAnsi="Times New Roman" w:cs="Times New Roman"/>
        <w:sz w:val="24"/>
        <w:szCs w:val="24"/>
      </w:rPr>
      <w:fldChar w:fldCharType="begin"/>
    </w:r>
    <w:r w:rsidRPr="00687959">
      <w:rPr>
        <w:rFonts w:ascii="Times New Roman" w:hAnsi="Times New Roman" w:cs="Times New Roman"/>
        <w:sz w:val="24"/>
        <w:szCs w:val="24"/>
      </w:rPr>
      <w:instrText>PAGE   \* MERGEFORMAT</w:instrText>
    </w:r>
    <w:r w:rsidRPr="00687959">
      <w:rPr>
        <w:rFonts w:ascii="Times New Roman" w:hAnsi="Times New Roman" w:cs="Times New Roman"/>
        <w:sz w:val="24"/>
        <w:szCs w:val="24"/>
      </w:rPr>
      <w:fldChar w:fldCharType="separate"/>
    </w:r>
    <w:r w:rsidR="002E0BAE">
      <w:rPr>
        <w:rFonts w:ascii="Times New Roman" w:hAnsi="Times New Roman" w:cs="Times New Roman"/>
        <w:sz w:val="24"/>
        <w:szCs w:val="24"/>
      </w:rPr>
      <w:t>2</w:t>
    </w:r>
    <w:r w:rsidRPr="00687959">
      <w:rPr>
        <w:rFonts w:ascii="Times New Roman" w:hAnsi="Times New Roman" w:cs="Times New Roman"/>
        <w:sz w:val="24"/>
        <w:szCs w:val="24"/>
      </w:rPr>
      <w:fldChar w:fldCharType="end"/>
    </w:r>
  </w:p>
  <w:p w:rsidR="004B595A" w:rsidRDefault="00CB70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368DF"/>
    <w:multiLevelType w:val="multilevel"/>
    <w:tmpl w:val="FB86DF20"/>
    <w:lvl w:ilvl="0">
      <w:start w:val="5"/>
      <w:numFmt w:val="decimal"/>
      <w:lvlText w:val="%1."/>
      <w:lvlJc w:val="left"/>
      <w:pPr>
        <w:ind w:left="1069"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744"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86" w:hanging="1440"/>
      </w:pPr>
      <w:rPr>
        <w:rFonts w:hint="default"/>
      </w:rPr>
    </w:lvl>
    <w:lvl w:ilvl="8">
      <w:start w:val="1"/>
      <w:numFmt w:val="decimal"/>
      <w:isLgl/>
      <w:lvlText w:val="%1.%2.%3.%4.%5.%6.%7.%8.%9."/>
      <w:lvlJc w:val="left"/>
      <w:pPr>
        <w:ind w:left="403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45"/>
    <w:rsid w:val="000B54CF"/>
    <w:rsid w:val="0010289B"/>
    <w:rsid w:val="00135914"/>
    <w:rsid w:val="002E0BAE"/>
    <w:rsid w:val="00687959"/>
    <w:rsid w:val="00714A46"/>
    <w:rsid w:val="008B34B8"/>
    <w:rsid w:val="009916A3"/>
    <w:rsid w:val="00AE7407"/>
    <w:rsid w:val="00C82C45"/>
    <w:rsid w:val="00CB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A0CC"/>
  <w15:chartTrackingRefBased/>
  <w15:docId w15:val="{3CE7DF10-623C-4E22-BF39-8719E001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45"/>
    <w:pPr>
      <w:spacing w:after="200" w:line="276" w:lineRule="auto"/>
    </w:pPr>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Знак"/>
    <w:basedOn w:val="2"/>
    <w:link w:val="30"/>
    <w:uiPriority w:val="99"/>
    <w:rsid w:val="00C82C45"/>
    <w:pPr>
      <w:widowControl w:val="0"/>
      <w:adjustRightInd w:val="0"/>
      <w:spacing w:after="0" w:line="240" w:lineRule="auto"/>
      <w:ind w:left="0"/>
      <w:jc w:val="both"/>
      <w:textAlignment w:val="baseline"/>
    </w:pPr>
    <w:rPr>
      <w:rFonts w:ascii="Arial" w:hAnsi="Arial" w:cs="Arial"/>
      <w:noProof w:val="0"/>
      <w:sz w:val="24"/>
      <w:szCs w:val="24"/>
      <w:lang w:eastAsia="ru-RU"/>
    </w:rPr>
  </w:style>
  <w:style w:type="character" w:customStyle="1" w:styleId="30">
    <w:name w:val="Стиль3 Знак Знак"/>
    <w:link w:val="3"/>
    <w:uiPriority w:val="99"/>
    <w:locked/>
    <w:rsid w:val="00C82C45"/>
    <w:rPr>
      <w:rFonts w:ascii="Arial" w:eastAsia="Calibri" w:hAnsi="Arial" w:cs="Arial"/>
      <w:sz w:val="24"/>
      <w:szCs w:val="24"/>
      <w:lang w:eastAsia="ru-RU"/>
    </w:rPr>
  </w:style>
  <w:style w:type="paragraph" w:styleId="a3">
    <w:name w:val="header"/>
    <w:basedOn w:val="a"/>
    <w:link w:val="a4"/>
    <w:uiPriority w:val="99"/>
    <w:rsid w:val="00C82C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2C45"/>
    <w:rPr>
      <w:rFonts w:ascii="Calibri" w:eastAsia="Calibri" w:hAnsi="Calibri" w:cs="Calibri"/>
      <w:noProof/>
    </w:rPr>
  </w:style>
  <w:style w:type="paragraph" w:styleId="2">
    <w:name w:val="Body Text Indent 2"/>
    <w:basedOn w:val="a"/>
    <w:link w:val="20"/>
    <w:uiPriority w:val="99"/>
    <w:semiHidden/>
    <w:unhideWhenUsed/>
    <w:rsid w:val="00C82C45"/>
    <w:pPr>
      <w:spacing w:after="120" w:line="480" w:lineRule="auto"/>
      <w:ind w:left="283"/>
    </w:pPr>
  </w:style>
  <w:style w:type="character" w:customStyle="1" w:styleId="20">
    <w:name w:val="Основной текст с отступом 2 Знак"/>
    <w:basedOn w:val="a0"/>
    <w:link w:val="2"/>
    <w:uiPriority w:val="99"/>
    <w:semiHidden/>
    <w:rsid w:val="00C82C45"/>
    <w:rPr>
      <w:rFonts w:ascii="Calibri" w:eastAsia="Calibri" w:hAnsi="Calibri" w:cs="Calibri"/>
      <w:noProof/>
    </w:rPr>
  </w:style>
  <w:style w:type="paragraph" w:styleId="a5">
    <w:name w:val="footer"/>
    <w:basedOn w:val="a"/>
    <w:link w:val="a6"/>
    <w:uiPriority w:val="99"/>
    <w:unhideWhenUsed/>
    <w:rsid w:val="006879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7959"/>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B085-292A-442D-A8FF-64B71F15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PC-3</cp:lastModifiedBy>
  <cp:revision>3</cp:revision>
  <dcterms:created xsi:type="dcterms:W3CDTF">2022-03-04T12:38:00Z</dcterms:created>
  <dcterms:modified xsi:type="dcterms:W3CDTF">2022-03-04T12:41:00Z</dcterms:modified>
</cp:coreProperties>
</file>